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default" w:ascii="微软雅黑" w:hAnsi="微软雅黑" w:eastAsia="微软雅黑" w:cs="微软雅黑"/>
          <w:b/>
          <w:bCs w:val="0"/>
          <w:color w:val="auto"/>
          <w:szCs w:val="28"/>
          <w:u w:val="single"/>
          <w:lang w:val="en-US" w:eastAsia="zh-CN"/>
        </w:rPr>
      </w:pPr>
      <w:bookmarkStart w:id="0" w:name="_Toc14346"/>
      <w:r>
        <w:rPr>
          <w:rFonts w:hint="eastAsia"/>
          <w:lang w:val="en-US" w:eastAsia="zh-CN"/>
        </w:rPr>
        <w:t>2023年度复旦大学教职工体检通知单</w:t>
      </w:r>
    </w:p>
    <w:p>
      <w:pPr>
        <w:pStyle w:val="3"/>
        <w:numPr>
          <w:ilvl w:val="0"/>
          <w:numId w:val="1"/>
        </w:numPr>
        <w:spacing w:line="240" w:lineRule="auto"/>
        <w:ind w:firstLine="0"/>
      </w:pPr>
      <w:bookmarkStart w:id="1" w:name="_Toc17761"/>
      <w:r>
        <w:rPr>
          <w:rFonts w:hint="eastAsia"/>
        </w:rPr>
        <w:t>上海门店地址</w:t>
      </w:r>
      <w:bookmarkEnd w:id="0"/>
      <w:bookmarkEnd w:id="1"/>
    </w:p>
    <w:tbl>
      <w:tblPr>
        <w:tblStyle w:val="9"/>
        <w:tblW w:w="9784" w:type="dxa"/>
        <w:jc w:val="center"/>
        <w:tblLayout w:type="fixed"/>
        <w:tblCellMar>
          <w:top w:w="0" w:type="dxa"/>
          <w:left w:w="0" w:type="dxa"/>
          <w:bottom w:w="0" w:type="dxa"/>
          <w:right w:w="0" w:type="dxa"/>
        </w:tblCellMar>
      </w:tblPr>
      <w:tblGrid>
        <w:gridCol w:w="1300"/>
        <w:gridCol w:w="2396"/>
        <w:gridCol w:w="5192"/>
        <w:gridCol w:w="896"/>
      </w:tblGrid>
      <w:tr>
        <w:tblPrEx>
          <w:tblCellMar>
            <w:top w:w="0" w:type="dxa"/>
            <w:left w:w="0" w:type="dxa"/>
            <w:bottom w:w="0" w:type="dxa"/>
            <w:right w:w="0" w:type="dxa"/>
          </w:tblCellMar>
        </w:tblPrEx>
        <w:trPr>
          <w:trHeight w:val="251"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97724E"/>
            <w:tcMar>
              <w:top w:w="15" w:type="dxa"/>
              <w:left w:w="15" w:type="dxa"/>
              <w:right w:w="15" w:type="dxa"/>
            </w:tcMar>
            <w:vAlign w:val="center"/>
          </w:tcPr>
          <w:p>
            <w:pPr>
              <w:widowControl/>
              <w:jc w:val="center"/>
              <w:textAlignment w:val="center"/>
              <w:rPr>
                <w:rFonts w:ascii="微软雅黑" w:hAnsi="微软雅黑" w:eastAsia="微软雅黑" w:cs="微软雅黑"/>
                <w:b/>
                <w:color w:val="FFFFFF"/>
                <w:sz w:val="18"/>
                <w:szCs w:val="18"/>
              </w:rPr>
            </w:pPr>
            <w:r>
              <w:rPr>
                <w:rFonts w:hint="eastAsia" w:ascii="微软雅黑" w:hAnsi="微软雅黑" w:eastAsia="微软雅黑" w:cs="微软雅黑"/>
                <w:b/>
                <w:color w:val="FFFFFF"/>
                <w:kern w:val="0"/>
                <w:sz w:val="18"/>
                <w:szCs w:val="18"/>
                <w:lang w:bidi="ar"/>
              </w:rPr>
              <w:t>机构名称</w:t>
            </w:r>
          </w:p>
        </w:tc>
        <w:tc>
          <w:tcPr>
            <w:tcW w:w="2396" w:type="dxa"/>
            <w:tcBorders>
              <w:top w:val="single" w:color="000000" w:sz="8" w:space="0"/>
              <w:left w:val="single" w:color="000000" w:sz="8" w:space="0"/>
              <w:bottom w:val="single" w:color="000000" w:sz="8" w:space="0"/>
              <w:right w:val="single" w:color="000000" w:sz="8" w:space="0"/>
            </w:tcBorders>
            <w:shd w:val="clear" w:color="auto" w:fill="97724E"/>
            <w:tcMar>
              <w:top w:w="15" w:type="dxa"/>
              <w:left w:w="15" w:type="dxa"/>
              <w:right w:w="15" w:type="dxa"/>
            </w:tcMar>
            <w:vAlign w:val="center"/>
          </w:tcPr>
          <w:p>
            <w:pPr>
              <w:widowControl/>
              <w:jc w:val="center"/>
              <w:textAlignment w:val="center"/>
              <w:rPr>
                <w:rFonts w:ascii="微软雅黑" w:hAnsi="微软雅黑" w:eastAsia="微软雅黑" w:cs="微软雅黑"/>
                <w:b/>
                <w:color w:val="FFFFFF"/>
                <w:sz w:val="18"/>
                <w:szCs w:val="18"/>
              </w:rPr>
            </w:pPr>
            <w:r>
              <w:rPr>
                <w:rFonts w:hint="eastAsia" w:ascii="微软雅黑" w:hAnsi="微软雅黑" w:eastAsia="微软雅黑" w:cs="微软雅黑"/>
                <w:b/>
                <w:color w:val="FFFFFF"/>
                <w:kern w:val="0"/>
                <w:sz w:val="18"/>
                <w:szCs w:val="18"/>
                <w:lang w:bidi="ar"/>
              </w:rPr>
              <w:t>地址</w:t>
            </w:r>
          </w:p>
        </w:tc>
        <w:tc>
          <w:tcPr>
            <w:tcW w:w="5192" w:type="dxa"/>
            <w:tcBorders>
              <w:top w:val="single" w:color="000000" w:sz="8" w:space="0"/>
              <w:left w:val="single" w:color="000000" w:sz="8" w:space="0"/>
              <w:bottom w:val="single" w:color="000000" w:sz="8" w:space="0"/>
              <w:right w:val="single" w:color="000000" w:sz="8" w:space="0"/>
            </w:tcBorders>
            <w:shd w:val="clear" w:color="auto" w:fill="97724E"/>
            <w:tcMar>
              <w:top w:w="15" w:type="dxa"/>
              <w:left w:w="15" w:type="dxa"/>
              <w:right w:w="15" w:type="dxa"/>
            </w:tcMar>
            <w:vAlign w:val="center"/>
          </w:tcPr>
          <w:p>
            <w:pPr>
              <w:widowControl/>
              <w:jc w:val="center"/>
              <w:textAlignment w:val="center"/>
              <w:rPr>
                <w:rFonts w:ascii="微软雅黑" w:hAnsi="微软雅黑" w:eastAsia="微软雅黑" w:cs="微软雅黑"/>
                <w:b/>
                <w:color w:val="FFFFFF"/>
                <w:sz w:val="18"/>
                <w:szCs w:val="18"/>
              </w:rPr>
            </w:pPr>
            <w:r>
              <w:rPr>
                <w:rFonts w:hint="eastAsia" w:ascii="微软雅黑" w:hAnsi="微软雅黑" w:eastAsia="微软雅黑" w:cs="微软雅黑"/>
                <w:b/>
                <w:color w:val="FFFFFF"/>
                <w:kern w:val="0"/>
                <w:sz w:val="18"/>
                <w:szCs w:val="18"/>
                <w:lang w:bidi="ar"/>
              </w:rPr>
              <w:t>附近交通</w:t>
            </w:r>
          </w:p>
        </w:tc>
        <w:tc>
          <w:tcPr>
            <w:tcW w:w="896" w:type="dxa"/>
            <w:tcBorders>
              <w:top w:val="single" w:color="000000" w:sz="8" w:space="0"/>
              <w:left w:val="single" w:color="000000" w:sz="8" w:space="0"/>
              <w:bottom w:val="single" w:color="000000" w:sz="8" w:space="0"/>
              <w:right w:val="single" w:color="000000" w:sz="8" w:space="0"/>
            </w:tcBorders>
            <w:shd w:val="clear" w:color="auto" w:fill="97724E"/>
            <w:tcMar>
              <w:top w:w="15" w:type="dxa"/>
              <w:left w:w="15" w:type="dxa"/>
              <w:right w:w="15" w:type="dxa"/>
            </w:tcMar>
            <w:vAlign w:val="center"/>
          </w:tcPr>
          <w:p>
            <w:pPr>
              <w:widowControl/>
              <w:jc w:val="center"/>
              <w:textAlignment w:val="center"/>
              <w:rPr>
                <w:rFonts w:ascii="微软雅黑" w:hAnsi="微软雅黑" w:eastAsia="微软雅黑" w:cs="微软雅黑"/>
                <w:b/>
                <w:color w:val="FFFFFF"/>
                <w:sz w:val="18"/>
                <w:szCs w:val="18"/>
              </w:rPr>
            </w:pPr>
            <w:r>
              <w:rPr>
                <w:rFonts w:hint="eastAsia" w:ascii="微软雅黑" w:hAnsi="微软雅黑" w:eastAsia="微软雅黑" w:cs="微软雅黑"/>
                <w:b/>
                <w:color w:val="FFFFFF"/>
                <w:kern w:val="0"/>
                <w:sz w:val="18"/>
                <w:szCs w:val="18"/>
                <w:lang w:bidi="ar"/>
              </w:rPr>
              <w:t>备注</w:t>
            </w:r>
          </w:p>
        </w:tc>
      </w:tr>
      <w:tr>
        <w:tblPrEx>
          <w:tblCellMar>
            <w:top w:w="0" w:type="dxa"/>
            <w:left w:w="0" w:type="dxa"/>
            <w:bottom w:w="0" w:type="dxa"/>
            <w:right w:w="0" w:type="dxa"/>
          </w:tblCellMar>
        </w:tblPrEx>
        <w:trPr>
          <w:trHeight w:val="688"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b/>
                <w:bCs/>
                <w:color w:val="000000"/>
                <w:kern w:val="0"/>
                <w:sz w:val="18"/>
                <w:szCs w:val="18"/>
                <w:lang w:bidi="ar"/>
              </w:rPr>
              <w:t>静安机构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江宁路212号凯迪克大厦1-3楼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地铁2号线南京西路站1号口；</w:t>
            </w:r>
          </w:p>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公交：20、37、109、927、15、21、23、36、136、206</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b/>
                <w:bCs/>
                <w:color w:val="000000"/>
                <w:kern w:val="0"/>
                <w:sz w:val="18"/>
                <w:szCs w:val="18"/>
                <w:lang w:bidi="ar"/>
              </w:rPr>
              <w:t>有核磁</w:t>
            </w:r>
          </w:p>
        </w:tc>
      </w:tr>
      <w:tr>
        <w:tblPrEx>
          <w:tblCellMar>
            <w:top w:w="0" w:type="dxa"/>
            <w:left w:w="0" w:type="dxa"/>
            <w:bottom w:w="0" w:type="dxa"/>
            <w:right w:w="0" w:type="dxa"/>
          </w:tblCellMar>
        </w:tblPrEx>
        <w:trPr>
          <w:trHeight w:val="490" w:hRule="atLeast"/>
          <w:jc w:val="center"/>
        </w:trPr>
        <w:tc>
          <w:tcPr>
            <w:tcW w:w="13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张江机构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张江高科技园区张东路1388号15号楼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地铁2号线广兰路站4号口 换张江有轨电车至终点站张东路，989、东川专线；张江环线</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679"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福山路机构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浦东福山路450号新天国际大厦2楼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地铁4号线浦电路站1号口；</w:t>
            </w:r>
          </w:p>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公交潍坊路：338、451、792、795、798、1019；浦电路：169</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482"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金桥机构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浦东金皖路199号大族科技中心</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地铁9号线金桥站2号口转777</w:t>
            </w:r>
            <w:r>
              <w:fldChar w:fldCharType="begin"/>
            </w:r>
            <w:r>
              <w:instrText xml:space="preserve"> HYPERLINK "https://ditu.so.com/javascript:;" </w:instrText>
            </w:r>
            <w:r>
              <w:fldChar w:fldCharType="separate"/>
            </w:r>
            <w:r>
              <w:rPr>
                <w:rFonts w:hint="eastAsia" w:ascii="微软雅黑" w:hAnsi="微软雅黑" w:eastAsia="微软雅黑" w:cs="微软雅黑"/>
                <w:color w:val="000000"/>
                <w:kern w:val="0"/>
                <w:sz w:val="18"/>
                <w:szCs w:val="18"/>
                <w:lang w:bidi="ar"/>
              </w:rPr>
              <w:t>金皖路新金桥路</w:t>
            </w:r>
            <w:r>
              <w:rPr>
                <w:rFonts w:hint="eastAsia" w:ascii="微软雅黑" w:hAnsi="微软雅黑" w:eastAsia="微软雅黑" w:cs="微软雅黑"/>
                <w:color w:val="000000"/>
                <w:kern w:val="0"/>
                <w:sz w:val="18"/>
                <w:szCs w:val="18"/>
                <w:lang w:bidi="ar"/>
              </w:rPr>
              <w:fldChar w:fldCharType="end"/>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bidi="ar"/>
              </w:rPr>
              <w:t>无钼靶</w:t>
            </w:r>
          </w:p>
        </w:tc>
      </w:tr>
      <w:tr>
        <w:tblPrEx>
          <w:tblCellMar>
            <w:top w:w="0" w:type="dxa"/>
            <w:left w:w="0" w:type="dxa"/>
            <w:bottom w:w="0" w:type="dxa"/>
            <w:right w:w="0" w:type="dxa"/>
          </w:tblCellMar>
        </w:tblPrEx>
        <w:trPr>
          <w:trHeight w:val="61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杨浦机构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上海市国定路323号楼13F</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地铁10号线五角场站（步行约10分钟左右）；</w:t>
            </w:r>
          </w:p>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邯郸路：819、966、749、99; 国定路：102、942</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31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普陀机构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金沙江路1628弄绿洲中环中心商务广场7号楼2楼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地铁13号线真北路站2号出口；</w:t>
            </w:r>
          </w:p>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公交：846、750、807、739、158、216、67、765；</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  </w:t>
            </w:r>
          </w:p>
        </w:tc>
      </w:tr>
      <w:tr>
        <w:tblPrEx>
          <w:tblCellMar>
            <w:top w:w="0" w:type="dxa"/>
            <w:left w:w="0" w:type="dxa"/>
            <w:bottom w:w="0" w:type="dxa"/>
            <w:right w:w="0" w:type="dxa"/>
          </w:tblCellMar>
        </w:tblPrEx>
        <w:trPr>
          <w:trHeight w:val="532"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松江机构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松江区方塔北路605号企德大厦6-8楼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荣乐路：1路、6路、8路、10路、松卫专线；美能达路：8路、22路</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543"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徐汇机构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徐汇区斜土路2899甲号光启文化广场B栋7楼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地铁4号线上海体育场站4号口；公交：100路、107路、105路、112路</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495"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漕河泾机构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宜山路1388号民润大厦3楼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地铁9号线漕河泾开发区站4号口；927路 731路 131路</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791"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闵行机构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上海市闵行区七莘路2099号1-2楼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地铁：12号线七莘路2号口出；9号线七宝5号口出；公交七莘路华友路（公交站）、七莘路中谊路（公交站）：91路，189路，196路，803路，虹桥枢纽4路，春运5路，南江线；</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0" w:type="dxa"/>
            <w:bottom w:w="0" w:type="dxa"/>
            <w:right w:w="0" w:type="dxa"/>
          </w:tblCellMar>
        </w:tblPrEx>
        <w:trPr>
          <w:trHeight w:val="9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宝山机构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宝山区共和新路4727号11层、12层</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地铁：1号线共康路站1号口对面 ，公交：46、95、849、701、719、862路均可到达</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bidi="ar"/>
              </w:rPr>
              <w:t>无钼靶</w:t>
            </w:r>
          </w:p>
        </w:tc>
      </w:tr>
      <w:tr>
        <w:tblPrEx>
          <w:tblCellMar>
            <w:top w:w="0" w:type="dxa"/>
            <w:left w:w="0" w:type="dxa"/>
            <w:bottom w:w="0" w:type="dxa"/>
            <w:right w:w="0" w:type="dxa"/>
          </w:tblCellMar>
        </w:tblPrEx>
        <w:trPr>
          <w:trHeight w:val="56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奉贤机构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奉贤区金海公路6055号33号楼</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公交：金海公路金齐路（奉贤11路）、金齐路农业园区（浦卫线）、金齐路金海公路（奉贤40路）、广丰路金海公路（奉贤6路）</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bidi="ar"/>
              </w:rPr>
              <w:t>有核磁</w:t>
            </w:r>
          </w:p>
        </w:tc>
      </w:tr>
      <w:tr>
        <w:tblPrEx>
          <w:tblCellMar>
            <w:top w:w="0" w:type="dxa"/>
            <w:left w:w="0" w:type="dxa"/>
            <w:bottom w:w="0" w:type="dxa"/>
            <w:right w:w="0" w:type="dxa"/>
          </w:tblCellMar>
        </w:tblPrEx>
        <w:trPr>
          <w:trHeight w:val="61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青浦机构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青浦区公园东路1289弄26号3-6层</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公交：公园东路华浦路站（途经：青华专线；青浦11路；青浦18路；青浦1路；青浦3路；青浦7路；青泸线；上青线）</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bidi="ar"/>
              </w:rPr>
              <w:t>有核磁</w:t>
            </w:r>
          </w:p>
        </w:tc>
      </w:tr>
      <w:tr>
        <w:tblPrEx>
          <w:tblCellMar>
            <w:top w:w="0" w:type="dxa"/>
            <w:left w:w="0" w:type="dxa"/>
            <w:bottom w:w="0" w:type="dxa"/>
            <w:right w:w="0" w:type="dxa"/>
          </w:tblCellMar>
        </w:tblPrEx>
        <w:trPr>
          <w:trHeight w:val="610" w:hRule="atLeast"/>
          <w:jc w:val="center"/>
        </w:trPr>
        <w:tc>
          <w:tcPr>
            <w:tcW w:w="130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hint="default" w:ascii="微软雅黑" w:hAnsi="微软雅黑" w:eastAsia="微软雅黑" w:cs="微软雅黑"/>
                <w:color w:val="000000"/>
                <w:kern w:val="0"/>
                <w:sz w:val="18"/>
                <w:szCs w:val="18"/>
                <w:lang w:val="en-US" w:eastAsia="zh-CN" w:bidi="ar"/>
              </w:rPr>
            </w:pPr>
            <w:bookmarkStart w:id="2" w:name="_Toc14296"/>
            <w:r>
              <w:rPr>
                <w:rFonts w:hint="eastAsia" w:ascii="微软雅黑" w:hAnsi="微软雅黑" w:eastAsia="微软雅黑" w:cs="微软雅黑"/>
                <w:color w:val="000000"/>
                <w:kern w:val="0"/>
                <w:sz w:val="18"/>
                <w:szCs w:val="18"/>
                <w:lang w:val="en-US" w:eastAsia="zh-CN" w:bidi="ar"/>
              </w:rPr>
              <w:t>嘉定机构</w:t>
            </w:r>
          </w:p>
        </w:tc>
        <w:tc>
          <w:tcPr>
            <w:tcW w:w="23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val="en-US" w:eastAsia="zh-CN" w:bidi="ar"/>
              </w:rPr>
              <w:t>嘉定区永盛路1190号一层A2区、二层、三层B区</w:t>
            </w:r>
          </w:p>
        </w:tc>
        <w:tc>
          <w:tcPr>
            <w:tcW w:w="519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公交： 塔秀路永盛路站（嘉定4路、嘉定9路）</w:t>
            </w:r>
          </w:p>
          <w:p>
            <w:pPr>
              <w:widowControl/>
              <w:jc w:val="left"/>
              <w:textAlignment w:val="center"/>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 xml:space="preserve">永盛路天祝路站（嘉定14 路、嘉定67路）  </w:t>
            </w:r>
          </w:p>
          <w:p>
            <w:pPr>
              <w:widowControl/>
              <w:jc w:val="left"/>
              <w:textAlignment w:val="center"/>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地铁：11号线（白银路站1号口出来换乘嘉定4路，地铁11号线嘉定新城站1号口出来换乘嘉定9路，嘉定14路，或嘉定9路）</w:t>
            </w:r>
          </w:p>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val="en-US" w:eastAsia="zh-CN" w:bidi="ar"/>
              </w:rPr>
              <w:t>自驾：嘉定区永盛路1190号（原出入境办理中心）</w:t>
            </w:r>
          </w:p>
        </w:tc>
        <w:tc>
          <w:tcPr>
            <w:tcW w:w="89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有核磁</w:t>
            </w:r>
          </w:p>
        </w:tc>
      </w:tr>
    </w:tbl>
    <w:p>
      <w:pPr>
        <w:pStyle w:val="3"/>
        <w:numPr>
          <w:ilvl w:val="0"/>
          <w:numId w:val="0"/>
        </w:numPr>
        <w:spacing w:line="240" w:lineRule="auto"/>
        <w:ind w:leftChars="0"/>
        <w:rPr>
          <w:rFonts w:hint="eastAsia"/>
        </w:rPr>
      </w:pPr>
    </w:p>
    <w:p>
      <w:pPr>
        <w:pStyle w:val="3"/>
        <w:numPr>
          <w:ilvl w:val="0"/>
          <w:numId w:val="1"/>
        </w:numPr>
        <w:spacing w:line="240" w:lineRule="auto"/>
        <w:ind w:firstLine="0"/>
        <w:rPr>
          <w:rFonts w:hint="eastAsia"/>
        </w:rPr>
      </w:pPr>
      <w:r>
        <w:rPr>
          <w:rFonts w:hint="eastAsia"/>
          <w:lang w:val="en-US" w:eastAsia="zh-CN"/>
        </w:rPr>
        <w:t>预约方式（请在周期内提前3-5天预约）</w:t>
      </w:r>
      <w:bookmarkEnd w:id="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微软雅黑" w:hAnsi="微软雅黑" w:eastAsia="微软雅黑" w:cs="微软雅黑"/>
          <w:sz w:val="24"/>
          <w:szCs w:val="24"/>
        </w:rPr>
      </w:pPr>
      <w:bookmarkStart w:id="3" w:name="_Toc28284"/>
      <w:r>
        <w:rPr>
          <w:rFonts w:hint="eastAsia" w:ascii="微软雅黑" w:hAnsi="微软雅黑" w:eastAsia="微软雅黑" w:cs="微软雅黑"/>
          <w:sz w:val="24"/>
          <w:szCs w:val="24"/>
        </w:rPr>
        <w:t>预约时间：202</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lang w:val="en-US" w:eastAsia="zh-CN"/>
        </w:rPr>
        <w:t xml:space="preserve"> 6 </w:t>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日-202</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lang w:val="en-US" w:eastAsia="zh-CN"/>
        </w:rPr>
        <w:t>12</w:t>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lang w:val="en-US" w:eastAsia="zh-CN"/>
        </w:rPr>
        <w:t>28</w:t>
      </w:r>
      <w:r>
        <w:rPr>
          <w:rFonts w:hint="eastAsia" w:ascii="微软雅黑" w:hAnsi="微软雅黑" w:eastAsia="微软雅黑" w:cs="微软雅黑"/>
          <w:sz w:val="24"/>
          <w:szCs w:val="24"/>
        </w:rPr>
        <w:t>日</w:t>
      </w:r>
      <w:bookmarkEnd w:id="3"/>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微软雅黑" w:hAnsi="微软雅黑" w:eastAsia="微软雅黑" w:cs="微软雅黑"/>
          <w:b/>
          <w:bCs/>
          <w:color w:val="FF0000"/>
          <w:sz w:val="24"/>
          <w:szCs w:val="24"/>
        </w:rPr>
      </w:pPr>
      <w:bookmarkStart w:id="4" w:name="_Toc3813"/>
      <w:r>
        <w:rPr>
          <w:rFonts w:hint="eastAsia" w:ascii="微软雅黑" w:hAnsi="微软雅黑" w:eastAsia="微软雅黑" w:cs="微软雅黑"/>
          <w:sz w:val="24"/>
          <w:szCs w:val="24"/>
        </w:rPr>
        <mc:AlternateContent>
          <mc:Choice Requires="wps">
            <w:drawing>
              <wp:anchor distT="0" distB="0" distL="114300" distR="114300" simplePos="0" relativeHeight="251661312" behindDoc="1" locked="0" layoutInCell="1" allowOverlap="1">
                <wp:simplePos x="0" y="0"/>
                <wp:positionH relativeFrom="column">
                  <wp:posOffset>-74930</wp:posOffset>
                </wp:positionH>
                <wp:positionV relativeFrom="paragraph">
                  <wp:posOffset>351155</wp:posOffset>
                </wp:positionV>
                <wp:extent cx="5544820" cy="7232015"/>
                <wp:effectExtent l="6350" t="6350" r="11430" b="13335"/>
                <wp:wrapNone/>
                <wp:docPr id="8" name="圆角矩形 8"/>
                <wp:cNvGraphicFramePr/>
                <a:graphic xmlns:a="http://schemas.openxmlformats.org/drawingml/2006/main">
                  <a:graphicData uri="http://schemas.microsoft.com/office/word/2010/wordprocessingShape">
                    <wps:wsp>
                      <wps:cNvSpPr/>
                      <wps:spPr>
                        <a:xfrm>
                          <a:off x="0" y="0"/>
                          <a:ext cx="5544820" cy="7232015"/>
                        </a:xfrm>
                        <a:prstGeom prst="roundRect">
                          <a:avLst>
                            <a:gd name="adj" fmla="val 16667"/>
                          </a:avLst>
                        </a:prstGeom>
                        <a:noFill/>
                        <a:ln w="12700" cap="flat" cmpd="sng">
                          <a:solidFill>
                            <a:srgbClr val="215968"/>
                          </a:solidFill>
                          <a:prstDash val="solid"/>
                          <a:headEnd type="none" w="med" len="med"/>
                          <a:tailEnd type="none" w="med" len="med"/>
                        </a:ln>
                      </wps:spPr>
                      <wps:txbx>
                        <w:txbxContent>
                          <w:p/>
                        </w:txbxContent>
                      </wps:txbx>
                      <wps:bodyPr upright="1"/>
                    </wps:wsp>
                  </a:graphicData>
                </a:graphic>
              </wp:anchor>
            </w:drawing>
          </mc:Choice>
          <mc:Fallback>
            <w:pict>
              <v:roundrect id="_x0000_s1026" o:spid="_x0000_s1026" o:spt="2" style="position:absolute;left:0pt;margin-left:-5.9pt;margin-top:27.65pt;height:569.45pt;width:436.6pt;z-index:-251655168;mso-width-relative:page;mso-height-relative:page;" filled="f" stroked="t" coordsize="21600,21600" arcsize="0.166666666666667" o:gfxdata="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L105rdAAAACwEAAA8AAAAAAAAAAQAgAAAAIgAAAGRycy9kb3ducmV2LnhtbFBLAQIUABQAAAAI&#10;AIdO4kBKJLs0IQIAAC8EAAAOAAAAAAAAAAEAIAAAACwBAABkcnMvZTJvRG9jLnhtbFBLBQYAAAAA&#10;BgAGAFkBAAC/BQAAAAA=&#10;">
                <v:fill on="f" focussize="0,0"/>
                <v:stroke weight="1pt" color="#215968" joinstyle="round"/>
                <v:imagedata o:title=""/>
                <o:lock v:ext="edit" aspectratio="f"/>
                <v:textbox>
                  <w:txbxContent>
                    <w:p/>
                  </w:txbxContent>
                </v:textbox>
              </v:roundrect>
            </w:pict>
          </mc:Fallback>
        </mc:AlternateContent>
      </w:r>
      <w:r>
        <w:rPr>
          <w:rFonts w:hint="eastAsia" w:ascii="微软雅黑" w:hAnsi="微软雅黑" w:eastAsia="微软雅黑" w:cs="微软雅黑"/>
          <w:sz w:val="24"/>
          <w:szCs w:val="24"/>
        </w:rPr>
        <w:t>体检时间：202</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lang w:val="en-US" w:eastAsia="zh-CN"/>
        </w:rPr>
        <w:t xml:space="preserve"> 6</w:t>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lang w:val="en-US" w:eastAsia="zh-CN"/>
        </w:rPr>
        <w:t xml:space="preserve"> 4</w:t>
      </w:r>
      <w:r>
        <w:rPr>
          <w:rFonts w:hint="eastAsia" w:ascii="微软雅黑" w:hAnsi="微软雅黑" w:eastAsia="微软雅黑" w:cs="微软雅黑"/>
          <w:sz w:val="24"/>
          <w:szCs w:val="24"/>
        </w:rPr>
        <w:t>日-202</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年</w:t>
      </w:r>
      <w:r>
        <w:rPr>
          <w:rFonts w:hint="eastAsia" w:ascii="微软雅黑" w:hAnsi="微软雅黑" w:eastAsia="微软雅黑" w:cs="微软雅黑"/>
          <w:sz w:val="24"/>
          <w:szCs w:val="24"/>
          <w:lang w:val="en-US" w:eastAsia="zh-CN"/>
        </w:rPr>
        <w:t xml:space="preserve"> 12</w:t>
      </w:r>
      <w:r>
        <w:rPr>
          <w:rFonts w:hint="eastAsia" w:ascii="微软雅黑" w:hAnsi="微软雅黑" w:eastAsia="微软雅黑" w:cs="微软雅黑"/>
          <w:sz w:val="24"/>
          <w:szCs w:val="24"/>
        </w:rPr>
        <w:t>月</w:t>
      </w:r>
      <w:r>
        <w:rPr>
          <w:rFonts w:hint="eastAsia" w:ascii="微软雅黑" w:hAnsi="微软雅黑" w:eastAsia="微软雅黑" w:cs="微软雅黑"/>
          <w:sz w:val="24"/>
          <w:szCs w:val="24"/>
          <w:lang w:val="en-US" w:eastAsia="zh-CN"/>
        </w:rPr>
        <w:t xml:space="preserve"> 31</w:t>
      </w:r>
      <w:r>
        <w:rPr>
          <w:rFonts w:hint="eastAsia" w:ascii="微软雅黑" w:hAnsi="微软雅黑" w:eastAsia="微软雅黑" w:cs="微软雅黑"/>
          <w:sz w:val="24"/>
          <w:szCs w:val="24"/>
        </w:rPr>
        <w:t>日</w:t>
      </w:r>
      <w:bookmarkEnd w:id="4"/>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微软雅黑" w:hAnsi="微软雅黑" w:eastAsia="微软雅黑" w:cs="微软雅黑"/>
          <w:b/>
          <w:bCs/>
          <w:color w:val="FF0000"/>
          <w:sz w:val="28"/>
          <w:szCs w:val="28"/>
        </w:rPr>
      </w:pPr>
      <w:r>
        <w:rPr>
          <w:rFonts w:hint="eastAsia" w:ascii="微软雅黑" w:hAnsi="微软雅黑" w:eastAsia="微软雅黑" w:cs="微软雅黑"/>
          <w:b/>
          <w:bCs/>
          <w:color w:val="FF0000"/>
          <w:sz w:val="28"/>
          <w:szCs w:val="28"/>
        </w:rPr>
        <w:t>在编人员预约</w:t>
      </w:r>
      <w:r>
        <w:rPr>
          <w:rFonts w:hint="eastAsia" w:ascii="微软雅黑" w:hAnsi="微软雅黑" w:eastAsia="微软雅黑" w:cs="微软雅黑"/>
          <w:b/>
          <w:bCs/>
          <w:color w:val="FF0000"/>
          <w:sz w:val="28"/>
          <w:szCs w:val="28"/>
          <w:lang w:val="en-US" w:eastAsia="zh-CN"/>
        </w:rPr>
        <w:t>通道</w:t>
      </w:r>
      <w:r>
        <w:rPr>
          <w:rFonts w:hint="eastAsia" w:ascii="微软雅黑" w:hAnsi="微软雅黑" w:eastAsia="微软雅黑" w:cs="微软雅黑"/>
          <w:b/>
          <w:bCs/>
          <w:color w:val="FF0000"/>
          <w:sz w:val="28"/>
          <w:szCs w:val="28"/>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微软雅黑" w:hAnsi="微软雅黑" w:eastAsia="微软雅黑" w:cs="微软雅黑"/>
          <w:b/>
          <w:bCs/>
          <w:lang w:val="en-US" w:eastAsia="zh-CN"/>
        </w:rPr>
      </w:pPr>
      <w:r>
        <w:rPr>
          <w:rFonts w:hint="eastAsia"/>
        </w:rPr>
        <w:t xml:space="preserve">      </w:t>
      </w:r>
      <w:bookmarkStart w:id="5" w:name="_Toc21851"/>
      <w:r>
        <w:rPr>
          <w:rFonts w:hint="eastAsia" w:ascii="微软雅黑" w:hAnsi="微软雅黑" w:eastAsia="微软雅黑" w:cs="微软雅黑"/>
          <w:b/>
          <w:bCs/>
          <w:color w:val="FF0000"/>
        </w:rPr>
        <w:t>方式一：微信预约</w:t>
      </w:r>
      <w:bookmarkEnd w:id="5"/>
      <w:r>
        <w:rPr>
          <w:rFonts w:hint="eastAsia" w:ascii="微软雅黑" w:hAnsi="微软雅黑" w:eastAsia="微软雅黑" w:cs="微软雅黑"/>
          <w:b/>
          <w:bCs/>
          <w:color w:val="FF0000"/>
          <w:lang w:eastAsia="zh-CN"/>
        </w:rPr>
        <w:t>，</w:t>
      </w:r>
      <w:r>
        <w:rPr>
          <w:rFonts w:hint="eastAsia" w:ascii="微软雅黑" w:hAnsi="微软雅黑" w:eastAsia="微软雅黑" w:cs="微软雅黑"/>
          <w:b/>
          <w:bCs/>
          <w:lang w:val="en-US" w:eastAsia="zh-CN"/>
        </w:rPr>
        <w:t>扫码点击</w:t>
      </w:r>
      <w:r>
        <w:rPr>
          <w:rFonts w:hint="eastAsia" w:ascii="微软雅黑" w:hAnsi="微软雅黑" w:eastAsia="微软雅黑" w:cs="微软雅黑"/>
          <w:b/>
          <w:bCs/>
          <w:highlight w:val="none"/>
          <w:lang w:val="en-US" w:eastAsia="zh-CN"/>
        </w:rPr>
        <w:t>体检预约</w:t>
      </w:r>
      <w:r>
        <w:rPr>
          <w:rFonts w:hint="eastAsia" w:ascii="微软雅黑" w:hAnsi="微软雅黑" w:eastAsia="微软雅黑" w:cs="微软雅黑"/>
          <w:b/>
          <w:bCs/>
          <w:lang w:val="en-US" w:eastAsia="zh-CN"/>
        </w:rPr>
        <w:t>即可</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微软雅黑" w:hAnsi="微软雅黑" w:eastAsia="微软雅黑" w:cs="微软雅黑"/>
        </w:rPr>
      </w:pPr>
      <w:r>
        <w:rPr>
          <w:rFonts w:hint="eastAsia" w:eastAsia="仿宋"/>
          <w:lang w:eastAsia="zh-CN"/>
        </w:rPr>
        <w:drawing>
          <wp:anchor distT="0" distB="0" distL="114300" distR="114300" simplePos="0" relativeHeight="251667456" behindDoc="0" locked="0" layoutInCell="1" allowOverlap="1">
            <wp:simplePos x="0" y="0"/>
            <wp:positionH relativeFrom="column">
              <wp:posOffset>481965</wp:posOffset>
            </wp:positionH>
            <wp:positionV relativeFrom="paragraph">
              <wp:posOffset>239395</wp:posOffset>
            </wp:positionV>
            <wp:extent cx="1830070" cy="1830070"/>
            <wp:effectExtent l="0" t="0" r="11430" b="11430"/>
            <wp:wrapNone/>
            <wp:docPr id="15" name="图片 15" descr="166081383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60813835439"/>
                    <pic:cNvPicPr>
                      <a:picLocks noChangeAspect="1"/>
                    </pic:cNvPicPr>
                  </pic:nvPicPr>
                  <pic:blipFill>
                    <a:blip r:embed="rId6"/>
                    <a:stretch>
                      <a:fillRect/>
                    </a:stretch>
                  </pic:blipFill>
                  <pic:spPr>
                    <a:xfrm>
                      <a:off x="0" y="0"/>
                      <a:ext cx="1830070" cy="1830070"/>
                    </a:xfrm>
                    <a:prstGeom prst="rect">
                      <a:avLst/>
                    </a:prstGeom>
                  </pic:spPr>
                </pic:pic>
              </a:graphicData>
            </a:graphic>
          </wp:anchor>
        </w:drawing>
      </w:r>
      <w:r>
        <w:rPr>
          <w:rFonts w:hint="eastAsia" w:ascii="微软雅黑" w:hAnsi="微软雅黑" w:eastAsia="微软雅黑" w:cs="微软雅黑"/>
          <w:b/>
          <w:bCs/>
        </w:rPr>
        <w:t>账号：</w:t>
      </w:r>
      <w:r>
        <w:rPr>
          <w:rFonts w:hint="eastAsia" w:ascii="微软雅黑" w:hAnsi="微软雅黑" w:eastAsia="微软雅黑" w:cs="微软雅黑"/>
        </w:rPr>
        <w:t>身份证号码</w:t>
      </w:r>
      <w:r>
        <w:rPr>
          <w:rFonts w:hint="eastAsia" w:ascii="微软雅黑" w:hAnsi="微软雅黑" w:eastAsia="微软雅黑" w:cs="微软雅黑"/>
          <w:b/>
          <w:bCs/>
        </w:rPr>
        <w:t>，密码：</w:t>
      </w:r>
      <w:r>
        <w:rPr>
          <w:rFonts w:hint="eastAsia" w:ascii="微软雅黑" w:hAnsi="微软雅黑" w:eastAsia="微软雅黑" w:cs="微软雅黑"/>
        </w:rPr>
        <w:t>身份证号码后四位</w:t>
      </w:r>
    </w:p>
    <w:p>
      <w:r>
        <w:rPr>
          <w:rFonts w:hint="eastAsia" w:eastAsia="等线"/>
          <w:lang w:eastAsia="zh-CN"/>
        </w:rPr>
        <w:drawing>
          <wp:anchor distT="0" distB="0" distL="114300" distR="114300" simplePos="0" relativeHeight="251668480" behindDoc="0" locked="0" layoutInCell="1" allowOverlap="1">
            <wp:simplePos x="0" y="0"/>
            <wp:positionH relativeFrom="column">
              <wp:posOffset>3234055</wp:posOffset>
            </wp:positionH>
            <wp:positionV relativeFrom="paragraph">
              <wp:posOffset>15240</wp:posOffset>
            </wp:positionV>
            <wp:extent cx="1046480" cy="1688465"/>
            <wp:effectExtent l="0" t="0" r="7620" b="635"/>
            <wp:wrapNone/>
            <wp:docPr id="16" name="图片 16" descr="cd14efc4d83209148b1bebf683b3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d14efc4d83209148b1bebf683b3504"/>
                    <pic:cNvPicPr>
                      <a:picLocks noChangeAspect="1"/>
                    </pic:cNvPicPr>
                  </pic:nvPicPr>
                  <pic:blipFill>
                    <a:blip r:embed="rId7"/>
                    <a:stretch>
                      <a:fillRect/>
                    </a:stretch>
                  </pic:blipFill>
                  <pic:spPr>
                    <a:xfrm>
                      <a:off x="0" y="0"/>
                      <a:ext cx="1046480" cy="1688465"/>
                    </a:xfrm>
                    <a:prstGeom prst="rect">
                      <a:avLst/>
                    </a:prstGeom>
                  </pic:spPr>
                </pic:pic>
              </a:graphicData>
            </a:graphic>
          </wp:anchor>
        </w:drawing>
      </w:r>
    </w:p>
    <w:p/>
    <w:p/>
    <w:p>
      <w:pPr>
        <w:rPr>
          <w:rFonts w:hint="eastAsia" w:eastAsia="等线"/>
          <w:lang w:eastAsia="zh-CN"/>
        </w:rPr>
      </w:pPr>
    </w:p>
    <w:p>
      <w:r>
        <mc:AlternateContent>
          <mc:Choice Requires="wps">
            <w:drawing>
              <wp:anchor distT="0" distB="0" distL="114300" distR="114300" simplePos="0" relativeHeight="251659264" behindDoc="0" locked="0" layoutInCell="1" allowOverlap="1">
                <wp:simplePos x="0" y="0"/>
                <wp:positionH relativeFrom="column">
                  <wp:posOffset>2510790</wp:posOffset>
                </wp:positionH>
                <wp:positionV relativeFrom="paragraph">
                  <wp:posOffset>53975</wp:posOffset>
                </wp:positionV>
                <wp:extent cx="463550" cy="209550"/>
                <wp:effectExtent l="4445" t="10795" r="19685" b="23495"/>
                <wp:wrapNone/>
                <wp:docPr id="5" name="右箭头 5"/>
                <wp:cNvGraphicFramePr/>
                <a:graphic xmlns:a="http://schemas.openxmlformats.org/drawingml/2006/main">
                  <a:graphicData uri="http://schemas.microsoft.com/office/word/2010/wordprocessingShape">
                    <wps:wsp>
                      <wps:cNvSpPr/>
                      <wps:spPr>
                        <a:xfrm>
                          <a:off x="0" y="0"/>
                          <a:ext cx="463550" cy="209550"/>
                        </a:xfrm>
                        <a:prstGeom prst="rightArrow">
                          <a:avLst>
                            <a:gd name="adj1" fmla="val 50000"/>
                            <a:gd name="adj2" fmla="val 55272"/>
                          </a:avLst>
                        </a:prstGeom>
                        <a:solidFill>
                          <a:srgbClr val="215968"/>
                        </a:solidFill>
                        <a:ln w="9525" cap="flat" cmpd="sng">
                          <a:solidFill>
                            <a:srgbClr val="215968"/>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3" type="#_x0000_t13" style="position:absolute;left:0pt;margin-left:197.7pt;margin-top:4.25pt;height:16.5pt;width:36.5pt;z-index:251659264;mso-width-relative:page;mso-height-relative:page;" fillcolor="#215968" filled="t" stroked="t" coordsize="21600,21600" o:gfxdata="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hCxt89kAAAAIAQAADwAAAAAAAAABACAAAAAiAAAAZHJzL2Rvd25yZXYueG1sUEsBAhQAFAAAAAgA&#10;h07iQKAxuAEkAgAAggQAAA4AAAAAAAAAAQAgAAAAKAEAAGRycy9lMm9Eb2MueG1sUEsFBgAAAAAG&#10;AAYAWQEAAL4FAAAAAA==&#10;" adj="16204,5400">
                <v:fill on="t" focussize="0,0"/>
                <v:stroke color="#215968" joinstyle="miter"/>
                <v:imagedata o:title=""/>
                <o:lock v:ext="edit" aspectratio="f"/>
                <v:textbox>
                  <w:txbxContent>
                    <w:p/>
                  </w:txbxContent>
                </v:textbox>
              </v:shape>
            </w:pict>
          </mc:Fallback>
        </mc:AlternateContent>
      </w:r>
    </w:p>
    <w:p/>
    <w:p/>
    <w:p/>
    <w:p>
      <w:pPr>
        <w:rPr>
          <w:rFonts w:ascii="微软雅黑" w:hAnsi="微软雅黑" w:eastAsia="微软雅黑" w:cs="微软雅黑"/>
          <w:b/>
          <w:bCs/>
          <w:color w:val="FF0000"/>
        </w:rPr>
      </w:pPr>
      <w:r>
        <w:rPr>
          <w:rFonts w:hint="eastAsia"/>
        </w:rPr>
        <w:t xml:space="preserve">                                     </w:t>
      </w:r>
    </w:p>
    <w:p>
      <w:pPr>
        <w:spacing w:line="360" w:lineRule="auto"/>
        <w:ind w:firstLine="630" w:firstLineChars="300"/>
        <w:outlineLvl w:val="0"/>
        <w:rPr>
          <w:rFonts w:hint="eastAsia" w:ascii="微软雅黑" w:hAnsi="微软雅黑" w:eastAsia="微软雅黑" w:cs="微软雅黑"/>
          <w:b/>
          <w:bCs/>
          <w:color w:val="FF0000"/>
        </w:rPr>
      </w:pPr>
      <w:bookmarkStart w:id="6" w:name="_Toc27864"/>
    </w:p>
    <w:p>
      <w:pPr>
        <w:spacing w:line="360" w:lineRule="auto"/>
        <w:ind w:firstLine="630" w:firstLineChars="300"/>
        <w:outlineLvl w:val="0"/>
        <w:rPr>
          <w:rFonts w:ascii="微软雅黑" w:hAnsi="微软雅黑" w:eastAsia="微软雅黑" w:cs="微软雅黑"/>
          <w:b/>
          <w:bCs/>
          <w:color w:val="205968"/>
        </w:rPr>
      </w:pPr>
      <w:r>
        <w:rPr>
          <w:rFonts w:hint="eastAsia" w:ascii="微软雅黑" w:hAnsi="微软雅黑" w:eastAsia="微软雅黑" w:cs="微软雅黑"/>
          <w:b/>
          <w:bCs/>
          <w:color w:val="FF0000"/>
        </w:rPr>
        <w:t>方式二：电话预约</w:t>
      </w:r>
      <w:bookmarkEnd w:id="6"/>
    </w:p>
    <w:p>
      <w:pPr>
        <w:spacing w:line="360" w:lineRule="auto"/>
        <w:ind w:firstLine="630" w:firstLineChars="300"/>
        <w:outlineLvl w:val="0"/>
        <w:rPr>
          <w:rFonts w:ascii="微软雅黑" w:hAnsi="微软雅黑" w:eastAsia="微软雅黑" w:cs="微软雅黑"/>
          <w:b/>
          <w:bCs/>
          <w:color w:val="205867"/>
        </w:rPr>
      </w:pPr>
      <w:bookmarkStart w:id="7" w:name="_Toc32752"/>
      <w:r>
        <w:rPr>
          <w:rFonts w:hint="eastAsia" w:ascii="微软雅黑" w:hAnsi="微软雅黑" w:eastAsia="微软雅黑" w:cs="微软雅黑"/>
          <w:b/>
          <w:bCs/>
        </w:rPr>
        <w:t>官方热线：</w:t>
      </w:r>
      <w:r>
        <w:rPr>
          <w:rFonts w:hint="eastAsia" w:ascii="微软雅黑" w:hAnsi="微软雅黑" w:eastAsia="微软雅黑" w:cs="微软雅黑"/>
          <w:b/>
          <w:bCs/>
          <w:color w:val="205867"/>
        </w:rPr>
        <w:t>400-1688-188（周一到周日 8:00-18:00）</w:t>
      </w:r>
      <w:bookmarkEnd w:id="7"/>
    </w:p>
    <w:p>
      <w:pPr>
        <w:spacing w:line="360" w:lineRule="auto"/>
        <w:ind w:firstLine="630" w:firstLineChars="300"/>
        <w:outlineLvl w:val="0"/>
        <w:rPr>
          <w:rFonts w:ascii="微软雅黑" w:hAnsi="微软雅黑" w:eastAsia="微软雅黑" w:cs="微软雅黑"/>
          <w:b/>
          <w:bCs/>
          <w:color w:val="205968"/>
          <w:sz w:val="10"/>
          <w:szCs w:val="10"/>
        </w:rPr>
      </w:pPr>
      <w:bookmarkStart w:id="8" w:name="_Toc11118"/>
      <w:r>
        <w:rPr>
          <w:rFonts w:hint="eastAsia" w:ascii="微软雅黑" w:hAnsi="微软雅黑" w:eastAsia="微软雅黑" w:cs="微软雅黑"/>
          <w:b/>
          <w:bCs/>
        </w:rPr>
        <w:t>预约电话：</w:t>
      </w:r>
      <w:r>
        <w:rPr>
          <w:rFonts w:hint="eastAsia" w:ascii="微软雅黑" w:hAnsi="微软雅黑" w:eastAsia="微软雅黑" w:cs="微软雅黑"/>
          <w:b/>
          <w:bCs/>
          <w:color w:val="205867"/>
        </w:rPr>
        <w:t>15216893970 （周一到周五 8:30-17:00)</w:t>
      </w:r>
      <w:bookmarkEnd w:id="8"/>
    </w:p>
    <w:p>
      <w:pPr>
        <w:spacing w:line="360" w:lineRule="auto"/>
        <w:ind w:firstLine="630" w:firstLineChars="300"/>
        <w:outlineLvl w:val="0"/>
        <w:rPr>
          <w:rFonts w:hint="eastAsia" w:ascii="微软雅黑" w:hAnsi="微软雅黑" w:eastAsia="微软雅黑" w:cs="微软雅黑"/>
          <w:b/>
          <w:bCs/>
          <w:color w:val="FF0000"/>
        </w:rPr>
      </w:pPr>
      <w:bookmarkStart w:id="9" w:name="_Toc26190"/>
    </w:p>
    <w:p>
      <w:pPr>
        <w:spacing w:line="360" w:lineRule="auto"/>
        <w:ind w:firstLine="630" w:firstLineChars="300"/>
        <w:outlineLvl w:val="0"/>
        <w:rPr>
          <w:rFonts w:ascii="微软雅黑" w:hAnsi="微软雅黑" w:eastAsia="微软雅黑" w:cs="微软雅黑"/>
        </w:rPr>
      </w:pPr>
      <w:r>
        <w:rPr>
          <w:rFonts w:hint="eastAsia" w:ascii="微软雅黑" w:hAnsi="微软雅黑" w:eastAsia="微软雅黑" w:cs="微软雅黑"/>
          <w:b/>
          <w:bCs/>
          <w:color w:val="FF0000"/>
        </w:rPr>
        <w:t>方式三：网站预约</w:t>
      </w:r>
      <w:bookmarkEnd w:id="9"/>
    </w:p>
    <w:p>
      <w:pPr>
        <w:spacing w:line="360" w:lineRule="auto"/>
        <w:ind w:firstLine="630" w:firstLineChars="300"/>
        <w:rPr>
          <w:rFonts w:ascii="微软雅黑" w:hAnsi="微软雅黑" w:eastAsia="微软雅黑" w:cs="微软雅黑"/>
        </w:rPr>
      </w:pPr>
      <w:r>
        <w:rPr>
          <w:rFonts w:hint="eastAsia" w:ascii="微软雅黑" w:hAnsi="微软雅黑" w:eastAsia="微软雅黑" w:cs="微软雅黑"/>
          <w:b/>
          <w:bCs/>
        </w:rPr>
        <w:t>预约网址：</w:t>
      </w:r>
      <w:r>
        <w:rPr>
          <w:rFonts w:hint="eastAsia" w:ascii="微软雅黑" w:hAnsi="微软雅黑" w:eastAsia="微软雅黑" w:cs="微软雅黑"/>
        </w:rPr>
        <w:t xml:space="preserve"> </w:t>
      </w:r>
      <w:r>
        <w:fldChar w:fldCharType="begin"/>
      </w:r>
      <w:r>
        <w:instrText xml:space="preserve"> HYPERLINK "http://www.ruicitijian.com/company.html" </w:instrText>
      </w:r>
      <w:r>
        <w:fldChar w:fldCharType="separate"/>
      </w:r>
      <w:r>
        <w:rPr>
          <w:rStyle w:val="11"/>
          <w:rFonts w:hint="eastAsia" w:ascii="微软雅黑" w:hAnsi="微软雅黑" w:eastAsia="微软雅黑" w:cs="微软雅黑"/>
        </w:rPr>
        <w:t>http://www.ruicitijian.com/company.html</w:t>
      </w:r>
      <w:r>
        <w:rPr>
          <w:rStyle w:val="11"/>
          <w:rFonts w:hint="eastAsia" w:ascii="微软雅黑" w:hAnsi="微软雅黑" w:eastAsia="微软雅黑" w:cs="微软雅黑"/>
        </w:rPr>
        <w:fldChar w:fldCharType="end"/>
      </w:r>
      <w:r>
        <w:rPr>
          <w:rFonts w:hint="eastAsia" w:ascii="微软雅黑" w:hAnsi="微软雅黑" w:eastAsia="微软雅黑" w:cs="微软雅黑"/>
        </w:rPr>
        <w:t xml:space="preserve"> </w:t>
      </w:r>
    </w:p>
    <w:p>
      <w:pPr>
        <w:spacing w:line="360" w:lineRule="auto"/>
        <w:ind w:firstLine="630" w:firstLineChars="300"/>
        <w:outlineLvl w:val="0"/>
        <w:rPr>
          <w:rFonts w:ascii="微软雅黑" w:hAnsi="微软雅黑" w:eastAsia="微软雅黑" w:cs="微软雅黑"/>
          <w:b/>
          <w:bCs/>
        </w:rPr>
      </w:pPr>
      <w:bookmarkStart w:id="10" w:name="_Toc31375"/>
      <w:r>
        <w:rPr>
          <w:rFonts w:hint="eastAsia" w:ascii="微软雅黑" w:hAnsi="微软雅黑" w:eastAsia="微软雅黑" w:cs="微软雅黑"/>
          <w:b/>
          <w:bCs/>
        </w:rPr>
        <w:t>备注，账号：身份证号码；密码：身份证号码后四位（如下图所示）</w:t>
      </w:r>
      <w:bookmarkEnd w:id="10"/>
    </w:p>
    <w:p>
      <w:r>
        <w:drawing>
          <wp:anchor distT="0" distB="0" distL="114300" distR="114300" simplePos="0" relativeHeight="251660288" behindDoc="0" locked="0" layoutInCell="1" allowOverlap="1">
            <wp:simplePos x="0" y="0"/>
            <wp:positionH relativeFrom="column">
              <wp:posOffset>753110</wp:posOffset>
            </wp:positionH>
            <wp:positionV relativeFrom="paragraph">
              <wp:posOffset>23495</wp:posOffset>
            </wp:positionV>
            <wp:extent cx="3695700" cy="1564640"/>
            <wp:effectExtent l="0" t="0" r="0" b="1016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695700" cy="1564640"/>
                    </a:xfrm>
                    <a:prstGeom prst="rect">
                      <a:avLst/>
                    </a:prstGeom>
                    <a:noFill/>
                    <a:ln>
                      <a:noFill/>
                    </a:ln>
                  </pic:spPr>
                </pic:pic>
              </a:graphicData>
            </a:graphic>
          </wp:anchor>
        </w:drawing>
      </w:r>
    </w:p>
    <w:p>
      <w:pPr>
        <w:jc w:val="left"/>
      </w:pPr>
    </w:p>
    <w:p>
      <w:pPr>
        <w:jc w:val="left"/>
      </w:pPr>
    </w:p>
    <w:p>
      <w:pPr>
        <w:jc w:val="left"/>
      </w:pPr>
    </w:p>
    <w:p>
      <w:pPr>
        <w:jc w:val="left"/>
      </w:pPr>
    </w:p>
    <w:p>
      <w:pPr>
        <w:jc w:val="left"/>
      </w:pPr>
    </w:p>
    <w:p>
      <w:pPr>
        <w:jc w:val="left"/>
      </w:pPr>
    </w:p>
    <w:p>
      <w:pPr>
        <w:rPr>
          <w:b/>
          <w:bCs/>
          <w:color w:val="FF0000"/>
          <w:sz w:val="28"/>
          <w:szCs w:val="28"/>
        </w:rPr>
      </w:pPr>
    </w:p>
    <w:p>
      <w:pPr>
        <w:pStyle w:val="2"/>
        <w:ind w:left="0" w:leftChars="0" w:firstLine="0" w:firstLineChars="0"/>
        <w:rPr>
          <w:b/>
          <w:bCs/>
          <w:color w:val="FF0000"/>
          <w:sz w:val="28"/>
          <w:szCs w:val="28"/>
        </w:rPr>
      </w:pPr>
    </w:p>
    <w:p>
      <w:pPr>
        <w:rPr>
          <w:b/>
          <w:bCs/>
          <w:color w:val="FF0000"/>
          <w:sz w:val="28"/>
          <w:szCs w:val="28"/>
        </w:rPr>
      </w:pPr>
      <w:r>
        <w:rPr>
          <w:rFonts w:hint="eastAsia" w:ascii="微软雅黑" w:hAnsi="微软雅黑" w:eastAsia="微软雅黑" w:cs="微软雅黑"/>
          <w:sz w:val="28"/>
          <w:szCs w:val="28"/>
        </w:rPr>
        <mc:AlternateContent>
          <mc:Choice Requires="wps">
            <w:drawing>
              <wp:anchor distT="0" distB="0" distL="114300" distR="114300" simplePos="0" relativeHeight="251666432" behindDoc="1" locked="0" layoutInCell="1" allowOverlap="1">
                <wp:simplePos x="0" y="0"/>
                <wp:positionH relativeFrom="column">
                  <wp:posOffset>-47625</wp:posOffset>
                </wp:positionH>
                <wp:positionV relativeFrom="paragraph">
                  <wp:posOffset>154940</wp:posOffset>
                </wp:positionV>
                <wp:extent cx="5758815" cy="6983730"/>
                <wp:effectExtent l="6350" t="6350" r="13335" b="7620"/>
                <wp:wrapNone/>
                <wp:docPr id="10" name="圆角矩形 10"/>
                <wp:cNvGraphicFramePr/>
                <a:graphic xmlns:a="http://schemas.openxmlformats.org/drawingml/2006/main">
                  <a:graphicData uri="http://schemas.microsoft.com/office/word/2010/wordprocessingShape">
                    <wps:wsp>
                      <wps:cNvSpPr/>
                      <wps:spPr>
                        <a:xfrm>
                          <a:off x="0" y="0"/>
                          <a:ext cx="5758815" cy="6983730"/>
                        </a:xfrm>
                        <a:prstGeom prst="roundRect">
                          <a:avLst>
                            <a:gd name="adj" fmla="val 16667"/>
                          </a:avLst>
                        </a:prstGeom>
                        <a:noFill/>
                        <a:ln w="12700" cap="flat" cmpd="sng">
                          <a:solidFill>
                            <a:srgbClr val="215968"/>
                          </a:solidFill>
                          <a:prstDash val="solid"/>
                          <a:headEnd type="none" w="med" len="med"/>
                          <a:tailEnd type="none" w="med" len="med"/>
                        </a:ln>
                      </wps:spPr>
                      <wps:txbx>
                        <w:txbxContent>
                          <w:p/>
                          <w:p/>
                        </w:txbxContent>
                      </wps:txbx>
                      <wps:bodyPr upright="1"/>
                    </wps:wsp>
                  </a:graphicData>
                </a:graphic>
              </wp:anchor>
            </w:drawing>
          </mc:Choice>
          <mc:Fallback>
            <w:pict>
              <v:roundrect id="_x0000_s1026" o:spid="_x0000_s1026" o:spt="2" style="position:absolute;left:0pt;margin-left:-3.75pt;margin-top:12.2pt;height:549.9pt;width:453.45pt;z-index:-251650048;mso-width-relative:page;mso-height-relative:page;" filled="f" stroked="t" coordsize="21600,21600" arcsize="0.166666666666667" o:gfxdata="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YKWm90AAAAKAQAADwAAAAAAAAABACAAAAAiAAAAZHJzL2Rvd25yZXYueG1sUEsBAhQAFAAA&#10;AAgAh07iQOuHw/8jAgAAMQQAAA4AAAAAAAAAAQAgAAAALAEAAGRycy9lMm9Eb2MueG1sUEsFBgAA&#10;AAAGAAYAWQEAAMEFAAAAAA==&#10;">
                <v:fill on="f" focussize="0,0"/>
                <v:stroke weight="1pt" color="#215968" joinstyle="round"/>
                <v:imagedata o:title=""/>
                <o:lock v:ext="edit" aspectratio="f"/>
                <v:textbox>
                  <w:txbxContent>
                    <w:p/>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firstLine="255" w:firstLineChars="91"/>
        <w:jc w:val="center"/>
        <w:textAlignment w:val="auto"/>
        <w:rPr>
          <w:b/>
          <w:bCs/>
          <w:color w:val="205968"/>
          <w:sz w:val="24"/>
          <w:szCs w:val="24"/>
        </w:rPr>
      </w:pPr>
      <w:r>
        <w:rPr>
          <w:rFonts w:hint="eastAsia" w:ascii="微软雅黑" w:hAnsi="微软雅黑" w:eastAsia="微软雅黑" w:cs="微软雅黑"/>
          <w:b/>
          <w:bCs/>
          <w:color w:val="FF0000"/>
          <w:sz w:val="28"/>
          <w:szCs w:val="28"/>
        </w:rPr>
        <w:t>非在编人员</w:t>
      </w:r>
      <w:r>
        <w:rPr>
          <w:rFonts w:hint="eastAsia" w:ascii="微软雅黑" w:hAnsi="微软雅黑" w:eastAsia="微软雅黑" w:cs="微软雅黑"/>
          <w:b/>
          <w:bCs/>
          <w:color w:val="FF0000"/>
          <w:sz w:val="28"/>
          <w:szCs w:val="28"/>
          <w:lang w:val="en-US" w:eastAsia="zh-CN"/>
        </w:rPr>
        <w:t>及</w:t>
      </w:r>
      <w:r>
        <w:rPr>
          <w:rFonts w:hint="eastAsia" w:ascii="微软雅黑" w:hAnsi="微软雅黑" w:eastAsia="微软雅黑" w:cs="微软雅黑"/>
          <w:b/>
          <w:bCs/>
          <w:color w:val="FF0000"/>
          <w:sz w:val="28"/>
          <w:szCs w:val="28"/>
        </w:rPr>
        <w:t>家属</w:t>
      </w:r>
      <w:r>
        <w:rPr>
          <w:rFonts w:hint="eastAsia" w:ascii="微软雅黑" w:hAnsi="微软雅黑" w:eastAsia="微软雅黑" w:cs="微软雅黑"/>
          <w:b/>
          <w:bCs/>
          <w:color w:val="FF0000"/>
          <w:sz w:val="28"/>
          <w:szCs w:val="28"/>
          <w:lang w:val="en-US" w:eastAsia="zh-CN"/>
        </w:rPr>
        <w:t>预约通道</w:t>
      </w:r>
      <w:r>
        <w:rPr>
          <w:rFonts w:hint="eastAsia" w:ascii="微软雅黑" w:hAnsi="微软雅黑" w:eastAsia="微软雅黑" w:cs="微软雅黑"/>
          <w:b/>
          <w:bCs/>
          <w:color w:val="FF0000"/>
          <w:sz w:val="28"/>
          <w:szCs w:val="28"/>
        </w:rPr>
        <w:t>（按以下图示操作）：</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outlineLvl w:val="0"/>
        <w:rPr>
          <w:rFonts w:hint="default" w:ascii="微软雅黑" w:hAnsi="微软雅黑" w:eastAsia="微软雅黑" w:cs="微软雅黑"/>
          <w:b/>
          <w:bCs/>
          <w:lang w:val="en-US" w:eastAsia="zh-CN"/>
        </w:rPr>
      </w:pPr>
      <w:r>
        <w:rPr>
          <w:rFonts w:hint="eastAsia" w:ascii="微软雅黑" w:hAnsi="微软雅黑" w:eastAsia="微软雅黑" w:cs="微软雅黑"/>
          <w:b/>
          <w:bCs/>
          <w:color w:val="FF0000"/>
        </w:rPr>
        <w:t>方式一：微信预约</w:t>
      </w:r>
      <w:r>
        <w:rPr>
          <w:rFonts w:hint="eastAsia" w:ascii="微软雅黑" w:hAnsi="微软雅黑" w:eastAsia="微软雅黑" w:cs="微软雅黑"/>
          <w:b/>
          <w:bCs/>
          <w:color w:val="FF0000"/>
          <w:lang w:eastAsia="zh-CN"/>
        </w:rPr>
        <w:t>，</w:t>
      </w:r>
      <w:r>
        <w:rPr>
          <w:rFonts w:hint="eastAsia" w:ascii="微软雅黑" w:hAnsi="微软雅黑" w:eastAsia="微软雅黑" w:cs="微软雅黑"/>
          <w:b/>
          <w:bCs/>
          <w:lang w:val="en-US" w:eastAsia="zh-CN"/>
        </w:rPr>
        <w:t>扫码点击</w:t>
      </w:r>
      <w:r>
        <w:rPr>
          <w:rFonts w:hint="eastAsia" w:ascii="微软雅黑" w:hAnsi="微软雅黑" w:eastAsia="微软雅黑" w:cs="微软雅黑"/>
          <w:b/>
          <w:bCs/>
          <w:highlight w:val="none"/>
          <w:lang w:val="en-US" w:eastAsia="zh-CN"/>
        </w:rPr>
        <w:t>客户登记</w:t>
      </w:r>
      <w:r>
        <w:rPr>
          <w:rFonts w:hint="eastAsia" w:ascii="微软雅黑" w:hAnsi="微软雅黑" w:eastAsia="微软雅黑" w:cs="微软雅黑"/>
          <w:b/>
          <w:bCs/>
          <w:lang w:val="en-US" w:eastAsia="zh-CN"/>
        </w:rPr>
        <w:t>（需现场付费人员）</w:t>
      </w:r>
    </w:p>
    <w:p>
      <w:pPr>
        <w:keepNext w:val="0"/>
        <w:keepLines w:val="0"/>
        <w:pageBreakBefore w:val="0"/>
        <w:widowControl w:val="0"/>
        <w:kinsoku/>
        <w:wordWrap/>
        <w:overflowPunct/>
        <w:topLinePunct w:val="0"/>
        <w:autoSpaceDE/>
        <w:autoSpaceDN/>
        <w:bidi w:val="0"/>
        <w:adjustRightInd/>
        <w:snapToGrid/>
        <w:spacing w:line="360" w:lineRule="auto"/>
        <w:ind w:firstLine="1417" w:firstLineChars="590"/>
        <w:textAlignment w:val="auto"/>
        <w:outlineLvl w:val="0"/>
        <w:rPr>
          <w:rFonts w:ascii="微软雅黑" w:hAnsi="微软雅黑" w:eastAsia="微软雅黑" w:cs="微软雅黑"/>
          <w:b/>
          <w:bCs/>
          <w:color w:val="205968"/>
        </w:rPr>
      </w:pPr>
      <w:r>
        <w:rPr>
          <w:b/>
          <w:bCs/>
          <w:color w:val="205867"/>
          <w:sz w:val="24"/>
          <w:szCs w:val="24"/>
        </w:rPr>
        <w:drawing>
          <wp:anchor distT="0" distB="0" distL="114300" distR="114300" simplePos="0" relativeHeight="251662336" behindDoc="0" locked="0" layoutInCell="1" allowOverlap="1">
            <wp:simplePos x="0" y="0"/>
            <wp:positionH relativeFrom="column">
              <wp:posOffset>1892935</wp:posOffset>
            </wp:positionH>
            <wp:positionV relativeFrom="paragraph">
              <wp:posOffset>13335</wp:posOffset>
            </wp:positionV>
            <wp:extent cx="1919605" cy="1919605"/>
            <wp:effectExtent l="0" t="0" r="10795" b="10795"/>
            <wp:wrapNone/>
            <wp:docPr id="7" name="图片 8" descr="InsertPic_(06-15-08-4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InsertPic_(06-15-08-47-18)"/>
                    <pic:cNvPicPr>
                      <a:picLocks noChangeAspect="1"/>
                    </pic:cNvPicPr>
                  </pic:nvPicPr>
                  <pic:blipFill>
                    <a:blip r:embed="rId9"/>
                    <a:stretch>
                      <a:fillRect/>
                    </a:stretch>
                  </pic:blipFill>
                  <pic:spPr>
                    <a:xfrm>
                      <a:off x="0" y="0"/>
                      <a:ext cx="1919605" cy="1919605"/>
                    </a:xfrm>
                    <a:prstGeom prst="rect">
                      <a:avLst/>
                    </a:prstGeom>
                    <a:noFill/>
                    <a:ln>
                      <a:noFill/>
                    </a:ln>
                  </pic:spPr>
                </pic:pic>
              </a:graphicData>
            </a:graphic>
          </wp:anchor>
        </w:drawing>
      </w:r>
    </w:p>
    <w:p>
      <w:pPr>
        <w:jc w:val="both"/>
        <w:rPr>
          <w:b/>
          <w:bCs/>
          <w:color w:val="205968"/>
          <w:sz w:val="24"/>
          <w:szCs w:val="24"/>
        </w:rPr>
      </w:pPr>
    </w:p>
    <w:p>
      <w:pPr>
        <w:ind w:firstLine="219" w:firstLineChars="91"/>
        <w:jc w:val="left"/>
        <w:rPr>
          <w:b/>
          <w:bCs/>
          <w:color w:val="205867"/>
          <w:sz w:val="24"/>
          <w:szCs w:val="24"/>
        </w:rPr>
      </w:pPr>
    </w:p>
    <w:p>
      <w:pPr>
        <w:pStyle w:val="4"/>
        <w:rPr>
          <w:rFonts w:hint="eastAsia" w:eastAsia="仿宋"/>
          <w:lang w:eastAsia="zh-CN"/>
        </w:rPr>
      </w:pPr>
    </w:p>
    <w:p/>
    <w:p/>
    <w:p>
      <w:r>
        <w:drawing>
          <wp:anchor distT="0" distB="0" distL="114300" distR="114300" simplePos="0" relativeHeight="251664384" behindDoc="0" locked="0" layoutInCell="1" allowOverlap="1">
            <wp:simplePos x="0" y="0"/>
            <wp:positionH relativeFrom="column">
              <wp:posOffset>3528695</wp:posOffset>
            </wp:positionH>
            <wp:positionV relativeFrom="paragraph">
              <wp:posOffset>100330</wp:posOffset>
            </wp:positionV>
            <wp:extent cx="1275080" cy="2194560"/>
            <wp:effectExtent l="0" t="0" r="7620" b="2540"/>
            <wp:wrapNone/>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0"/>
                    <a:stretch>
                      <a:fillRect/>
                    </a:stretch>
                  </pic:blipFill>
                  <pic:spPr>
                    <a:xfrm>
                      <a:off x="0" y="0"/>
                      <a:ext cx="1275080" cy="2194560"/>
                    </a:xfrm>
                    <a:prstGeom prst="rect">
                      <a:avLst/>
                    </a:prstGeom>
                    <a:noFill/>
                    <a:ln>
                      <a:noFill/>
                    </a:ln>
                  </pic:spPr>
                </pic:pic>
              </a:graphicData>
            </a:graphic>
          </wp:anchor>
        </w:drawing>
      </w:r>
      <w:r>
        <w:rPr>
          <w:rFonts w:hint="eastAsia"/>
        </w:rPr>
        <w:drawing>
          <wp:anchor distT="0" distB="0" distL="114300" distR="114300" simplePos="0" relativeHeight="251663360" behindDoc="0" locked="0" layoutInCell="1" allowOverlap="1">
            <wp:simplePos x="0" y="0"/>
            <wp:positionH relativeFrom="column">
              <wp:posOffset>817880</wp:posOffset>
            </wp:positionH>
            <wp:positionV relativeFrom="paragraph">
              <wp:posOffset>97155</wp:posOffset>
            </wp:positionV>
            <wp:extent cx="1370965" cy="2248535"/>
            <wp:effectExtent l="0" t="0" r="635" b="12065"/>
            <wp:wrapNone/>
            <wp:docPr id="9" name="图片 10" descr="15921888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1592188868(1)"/>
                    <pic:cNvPicPr>
                      <a:picLocks noChangeAspect="1"/>
                    </pic:cNvPicPr>
                  </pic:nvPicPr>
                  <pic:blipFill>
                    <a:blip r:embed="rId11"/>
                    <a:stretch>
                      <a:fillRect/>
                    </a:stretch>
                  </pic:blipFill>
                  <pic:spPr>
                    <a:xfrm>
                      <a:off x="0" y="0"/>
                      <a:ext cx="1370965" cy="2248535"/>
                    </a:xfrm>
                    <a:prstGeom prst="rect">
                      <a:avLst/>
                    </a:prstGeom>
                    <a:noFill/>
                    <a:ln>
                      <a:noFill/>
                    </a:ln>
                  </pic:spPr>
                </pic:pic>
              </a:graphicData>
            </a:graphic>
          </wp:anchor>
        </w:drawing>
      </w:r>
    </w:p>
    <w:p/>
    <w:p/>
    <w:p/>
    <w:p/>
    <w:p>
      <w:r>
        <w:rPr>
          <w:sz w:val="32"/>
        </w:rPr>
        <mc:AlternateContent>
          <mc:Choice Requires="wps">
            <w:drawing>
              <wp:anchor distT="0" distB="0" distL="114300" distR="114300" simplePos="0" relativeHeight="251665408" behindDoc="0" locked="0" layoutInCell="1" allowOverlap="1">
                <wp:simplePos x="0" y="0"/>
                <wp:positionH relativeFrom="column">
                  <wp:posOffset>2647315</wp:posOffset>
                </wp:positionH>
                <wp:positionV relativeFrom="paragraph">
                  <wp:posOffset>146685</wp:posOffset>
                </wp:positionV>
                <wp:extent cx="556260" cy="161925"/>
                <wp:effectExtent l="4445" t="7620" r="10795" b="8255"/>
                <wp:wrapNone/>
                <wp:docPr id="3" name="右箭头 3"/>
                <wp:cNvGraphicFramePr/>
                <a:graphic xmlns:a="http://schemas.openxmlformats.org/drawingml/2006/main">
                  <a:graphicData uri="http://schemas.microsoft.com/office/word/2010/wordprocessingShape">
                    <wps:wsp>
                      <wps:cNvSpPr/>
                      <wps:spPr>
                        <a:xfrm>
                          <a:off x="0" y="0"/>
                          <a:ext cx="556260" cy="161925"/>
                        </a:xfrm>
                        <a:prstGeom prst="rightArrow">
                          <a:avLst>
                            <a:gd name="adj1" fmla="val 50000"/>
                            <a:gd name="adj2" fmla="val 97587"/>
                          </a:avLst>
                        </a:prstGeom>
                        <a:solidFill>
                          <a:srgbClr val="31859C"/>
                        </a:solidFill>
                        <a:ln w="9525" cap="flat" cmpd="sng">
                          <a:solidFill>
                            <a:srgbClr val="000000"/>
                          </a:solidFill>
                          <a:prstDash val="solid"/>
                          <a:miter/>
                          <a:headEnd type="none" w="med" len="med"/>
                          <a:tailEnd type="none" w="med" len="med"/>
                        </a:ln>
                      </wps:spPr>
                      <wps:txbx>
                        <w:txbxContent>
                          <w:p>
                            <w:pPr>
                              <w:rPr>
                                <w:color w:val="31849B"/>
                              </w:rPr>
                            </w:pPr>
                          </w:p>
                        </w:txbxContent>
                      </wps:txbx>
                      <wps:bodyPr upright="1"/>
                    </wps:wsp>
                  </a:graphicData>
                </a:graphic>
              </wp:anchor>
            </w:drawing>
          </mc:Choice>
          <mc:Fallback>
            <w:pict>
              <v:shape id="_x0000_s1026" o:spid="_x0000_s1026" o:spt="13" type="#_x0000_t13" style="position:absolute;left:0pt;margin-left:208.45pt;margin-top:11.55pt;height:12.75pt;width:43.8pt;z-index:251665408;mso-width-relative:page;mso-height-relative:page;" fillcolor="#31859C" filled="t" stroked="t" coordsize="21600,21600" o:gfxdata="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M7++fXAAAACQEAAA8AAAAAAAAAAQAgAAAAIgAAAGRycy9kb3ducmV2LnhtbFBLAQIU&#10;ABQAAAAIAIdO4kBUYfpPLQIAAIIEAAAOAAAAAAAAAAEAIAAAACYBAABkcnMvZTJvRG9jLnhtbFBL&#10;BQYAAAAABgAGAFkBAADFBQAAAAA=&#10;" adj="15465,5400">
                <v:fill on="t" focussize="0,0"/>
                <v:stroke color="#000000" joinstyle="miter"/>
                <v:imagedata o:title=""/>
                <o:lock v:ext="edit" aspectratio="f"/>
                <v:textbox>
                  <w:txbxContent>
                    <w:p>
                      <w:pPr>
                        <w:rPr>
                          <w:color w:val="31849B"/>
                        </w:rPr>
                      </w:pPr>
                    </w:p>
                  </w:txbxContent>
                </v:textbox>
              </v:shape>
            </w:pict>
          </mc:Fallback>
        </mc:AlternateContent>
      </w:r>
    </w:p>
    <w:p/>
    <w:p/>
    <w:p/>
    <w:p/>
    <w:p/>
    <w:p/>
    <w:p/>
    <w:p/>
    <w:p/>
    <w:p/>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微软雅黑" w:hAnsi="微软雅黑" w:eastAsia="微软雅黑" w:cs="微软雅黑"/>
          <w:b/>
          <w:bCs/>
          <w:color w:val="205968"/>
        </w:rPr>
      </w:pPr>
      <w:r>
        <w:rPr>
          <w:rFonts w:hint="eastAsia" w:ascii="微软雅黑" w:hAnsi="微软雅黑" w:eastAsia="微软雅黑" w:cs="微软雅黑"/>
          <w:b/>
          <w:bCs/>
          <w:color w:val="FF0000"/>
          <w:lang w:val="en-US" w:eastAsia="zh-CN"/>
        </w:rPr>
        <w:t>方式二：</w:t>
      </w:r>
      <w:r>
        <w:rPr>
          <w:rFonts w:hint="eastAsia" w:ascii="微软雅黑" w:hAnsi="微软雅黑" w:eastAsia="微软雅黑" w:cs="微软雅黑"/>
          <w:b/>
          <w:bCs/>
          <w:color w:val="205968"/>
        </w:rPr>
        <w:t>电话预约：152-1689-3970（周一--周五 8：30-17：00）</w:t>
      </w:r>
    </w:p>
    <w:p>
      <w:pPr>
        <w:ind w:firstLine="1471" w:firstLineChars="700"/>
      </w:pPr>
      <w:bookmarkStart w:id="11" w:name="_Toc29631"/>
      <w:r>
        <w:rPr>
          <w:rFonts w:hint="eastAsia" w:ascii="微软雅黑" w:hAnsi="微软雅黑" w:eastAsia="微软雅黑" w:cs="微软雅黑"/>
          <w:b/>
          <w:bCs/>
          <w:color w:val="205968"/>
        </w:rPr>
        <w:t>官方热线：400-1688-</w:t>
      </w:r>
      <w:r>
        <w:rPr>
          <w:rFonts w:hint="eastAsia" w:ascii="微软雅黑" w:hAnsi="微软雅黑" w:eastAsia="微软雅黑" w:cs="微软雅黑"/>
          <w:b/>
          <w:bCs/>
          <w:color w:val="205968"/>
          <w:lang w:val="en-US" w:eastAsia="zh-CN"/>
        </w:rPr>
        <w:t>188</w:t>
      </w:r>
      <w:r>
        <w:rPr>
          <w:rFonts w:hint="eastAsia" w:ascii="微软雅黑" w:hAnsi="微软雅黑" w:eastAsia="微软雅黑" w:cs="微软雅黑"/>
          <w:b/>
          <w:bCs/>
          <w:color w:val="205968"/>
        </w:rPr>
        <w:t xml:space="preserve"> （周一--周日 8：00-18：00）</w:t>
      </w:r>
      <w:bookmarkEnd w:id="11"/>
    </w:p>
    <w:p>
      <w:pPr>
        <w:outlineLvl w:val="0"/>
        <w:rPr>
          <w:rFonts w:hint="eastAsia" w:ascii="微软雅黑" w:hAnsi="微软雅黑" w:eastAsia="微软雅黑" w:cs="微软雅黑"/>
          <w:b/>
          <w:bCs/>
          <w:color w:val="FF0000"/>
          <w:sz w:val="24"/>
          <w:szCs w:val="24"/>
        </w:rPr>
      </w:pPr>
      <w:bookmarkStart w:id="12" w:name="_Toc30194"/>
    </w:p>
    <w:p>
      <w:pPr>
        <w:outlineLvl w:val="0"/>
        <w:rPr>
          <w:rFonts w:hint="eastAsia" w:ascii="微软雅黑" w:hAnsi="微软雅黑" w:eastAsia="微软雅黑" w:cs="微软雅黑"/>
          <w:b/>
          <w:bCs/>
          <w:color w:val="FF0000"/>
          <w:sz w:val="24"/>
          <w:szCs w:val="24"/>
        </w:rPr>
      </w:pPr>
    </w:p>
    <w:p>
      <w:pPr>
        <w:outlineLvl w:val="0"/>
        <w:rPr>
          <w:rFonts w:hint="eastAsia" w:ascii="微软雅黑" w:hAnsi="微软雅黑" w:eastAsia="微软雅黑" w:cs="微软雅黑"/>
          <w:b/>
          <w:bCs/>
          <w:color w:val="FF0000"/>
          <w:sz w:val="24"/>
          <w:szCs w:val="24"/>
        </w:rPr>
      </w:pPr>
    </w:p>
    <w:p>
      <w:pPr>
        <w:outlineLvl w:val="0"/>
        <w:rPr>
          <w:rFonts w:hint="eastAsia" w:ascii="微软雅黑" w:hAnsi="微软雅黑" w:eastAsia="微软雅黑" w:cs="微软雅黑"/>
          <w:b/>
          <w:bCs/>
          <w:color w:val="FF0000"/>
          <w:sz w:val="24"/>
          <w:szCs w:val="24"/>
        </w:rPr>
      </w:pPr>
    </w:p>
    <w:p>
      <w:pPr>
        <w:outlineLvl w:val="0"/>
        <w:rPr>
          <w:rFonts w:hint="eastAsia" w:ascii="微软雅黑" w:hAnsi="微软雅黑" w:eastAsia="微软雅黑" w:cs="微软雅黑"/>
          <w:b/>
          <w:bCs/>
          <w:color w:val="FF0000"/>
          <w:sz w:val="24"/>
          <w:szCs w:val="24"/>
        </w:rPr>
      </w:pPr>
    </w:p>
    <w:p>
      <w:pPr>
        <w:outlineLvl w:val="0"/>
        <w:rPr>
          <w:rFonts w:hint="eastAsia" w:ascii="微软雅黑" w:hAnsi="微软雅黑" w:eastAsia="微软雅黑" w:cs="微软雅黑"/>
          <w:b/>
          <w:bCs/>
          <w:color w:val="FF0000"/>
          <w:sz w:val="24"/>
          <w:szCs w:val="24"/>
        </w:rPr>
      </w:pPr>
    </w:p>
    <w:p>
      <w:pPr>
        <w:outlineLvl w:val="0"/>
        <w:rPr>
          <w:rFonts w:hint="eastAsia"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rPr>
        <w:t>紧急联系人：潘麒羽 15221336476（微信同号）</w:t>
      </w:r>
      <w:bookmarkEnd w:id="12"/>
    </w:p>
    <w:p>
      <w:pPr>
        <w:numPr>
          <w:ilvl w:val="0"/>
          <w:numId w:val="0"/>
        </w:numPr>
        <w:ind w:leftChars="0"/>
        <w:jc w:val="left"/>
        <w:outlineLvl w:val="0"/>
        <w:rPr>
          <w:rFonts w:hint="eastAsia" w:ascii="微软雅黑" w:hAnsi="微软雅黑" w:eastAsia="微软雅黑" w:cs="微软雅黑"/>
          <w:b/>
          <w:sz w:val="30"/>
          <w:szCs w:val="30"/>
          <w:lang w:val="en-US" w:eastAsia="zh-CN"/>
        </w:rPr>
      </w:pPr>
    </w:p>
    <w:p>
      <w:pPr>
        <w:pStyle w:val="3"/>
        <w:numPr>
          <w:ilvl w:val="0"/>
          <w:numId w:val="1"/>
        </w:numPr>
        <w:spacing w:line="240" w:lineRule="auto"/>
        <w:ind w:firstLine="0"/>
        <w:rPr>
          <w:rFonts w:hint="eastAsia"/>
        </w:rPr>
      </w:pPr>
      <w:r>
        <w:rPr>
          <w:rFonts w:hint="eastAsia"/>
        </w:rPr>
        <w:t>体检套</w:t>
      </w:r>
      <w:bookmarkStart w:id="14" w:name="_GoBack"/>
      <w:bookmarkEnd w:id="14"/>
      <w:r>
        <w:rPr>
          <w:rFonts w:hint="eastAsia"/>
        </w:rPr>
        <w:t>餐内容（各套餐明细见后附件）-任选一个</w:t>
      </w:r>
    </w:p>
    <w:p>
      <w:pPr>
        <w:bidi w:val="0"/>
        <w:rPr>
          <w:rFonts w:hint="eastAsia" w:ascii="微软雅黑" w:hAnsi="微软雅黑" w:eastAsia="微软雅黑" w:cs="微软雅黑"/>
          <w:b/>
          <w:bCs/>
          <w:sz w:val="20"/>
          <w:szCs w:val="20"/>
          <w:lang w:val="en-US" w:eastAsia="zh-CN"/>
        </w:rPr>
      </w:pPr>
      <w:r>
        <w:rPr>
          <w:rFonts w:hint="eastAsia" w:ascii="微软雅黑" w:hAnsi="微软雅黑" w:eastAsia="微软雅黑" w:cs="微软雅黑"/>
          <w:b/>
          <w:bCs/>
          <w:sz w:val="24"/>
          <w:szCs w:val="24"/>
          <w:lang w:val="en-US" w:eastAsia="zh-CN"/>
        </w:rPr>
        <w:t>套餐一、固定套餐-含核磁（仅支持预约静安、青浦、嘉定、奉贤机构）</w:t>
      </w:r>
    </w:p>
    <w:p>
      <w:pPr>
        <w:bidi w:val="0"/>
        <w:rPr>
          <w:rFonts w:hint="eastAsia" w:ascii="微软雅黑" w:hAnsi="微软雅黑" w:eastAsia="微软雅黑" w:cs="微软雅黑"/>
          <w:b/>
          <w:bCs/>
          <w:sz w:val="20"/>
          <w:szCs w:val="20"/>
          <w:lang w:val="en-US" w:eastAsia="zh-CN"/>
        </w:rPr>
      </w:pPr>
    </w:p>
    <w:tbl>
      <w:tblPr>
        <w:tblStyle w:val="9"/>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880"/>
        <w:gridCol w:w="4680"/>
        <w:gridCol w:w="657"/>
        <w:gridCol w:w="101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4" w:hRule="atLeast"/>
        </w:trPr>
        <w:tc>
          <w:tcPr>
            <w:tcW w:w="6560" w:type="dxa"/>
            <w:gridSpan w:val="2"/>
            <w:shd w:val="clear" w:color="auto" w:fill="009999"/>
            <w:vAlign w:val="center"/>
          </w:tcPr>
          <w:p>
            <w:pPr>
              <w:keepNext w:val="0"/>
              <w:keepLines w:val="0"/>
              <w:widowControl/>
              <w:suppressLineNumbers w:val="0"/>
              <w:spacing w:line="240" w:lineRule="auto"/>
              <w:jc w:val="center"/>
              <w:textAlignment w:val="center"/>
              <w:rPr>
                <w:rFonts w:hint="default" w:ascii="宋体" w:hAnsi="宋体" w:eastAsia="宋体" w:cs="宋体"/>
                <w:b/>
                <w:bCs/>
                <w:i w:val="0"/>
                <w:iCs w:val="0"/>
                <w:color w:val="FFFFFF"/>
                <w:sz w:val="21"/>
                <w:szCs w:val="21"/>
                <w:u w:val="none"/>
                <w:lang w:val="en-US"/>
              </w:rPr>
            </w:pPr>
            <w:bookmarkStart w:id="13" w:name="_Toc23078"/>
            <w:r>
              <w:rPr>
                <w:rFonts w:hint="eastAsia" w:ascii="宋体" w:hAnsi="宋体" w:eastAsia="宋体" w:cs="宋体"/>
                <w:b/>
                <w:bCs/>
                <w:i w:val="0"/>
                <w:iCs w:val="0"/>
                <w:color w:val="FFFFFF"/>
                <w:kern w:val="0"/>
                <w:sz w:val="21"/>
                <w:szCs w:val="21"/>
                <w:u w:val="none"/>
                <w:lang w:val="en-US" w:eastAsia="zh-CN" w:bidi="ar"/>
              </w:rPr>
              <w:t>复旦大学教职工体检套餐</w:t>
            </w:r>
          </w:p>
        </w:tc>
        <w:tc>
          <w:tcPr>
            <w:tcW w:w="657" w:type="dxa"/>
            <w:shd w:val="clear" w:color="auto" w:fill="009999"/>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FFFFFF"/>
                <w:sz w:val="18"/>
                <w:szCs w:val="18"/>
                <w:u w:val="none"/>
              </w:rPr>
            </w:pPr>
            <w:r>
              <w:rPr>
                <w:rFonts w:hint="eastAsia" w:ascii="宋体" w:hAnsi="宋体" w:eastAsia="宋体" w:cs="宋体"/>
                <w:b/>
                <w:bCs/>
                <w:i w:val="0"/>
                <w:iCs w:val="0"/>
                <w:color w:val="FFFFFF"/>
                <w:kern w:val="0"/>
                <w:sz w:val="18"/>
                <w:szCs w:val="18"/>
                <w:u w:val="none"/>
                <w:lang w:val="en-US" w:eastAsia="zh-CN" w:bidi="ar"/>
              </w:rPr>
              <w:t>男性</w:t>
            </w:r>
          </w:p>
        </w:tc>
        <w:tc>
          <w:tcPr>
            <w:tcW w:w="1010" w:type="dxa"/>
            <w:shd w:val="clear" w:color="auto" w:fill="009999"/>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FFFFFF"/>
                <w:sz w:val="18"/>
                <w:szCs w:val="18"/>
                <w:u w:val="none"/>
              </w:rPr>
            </w:pPr>
            <w:r>
              <w:rPr>
                <w:rFonts w:hint="eastAsia" w:ascii="宋体" w:hAnsi="宋体" w:eastAsia="宋体" w:cs="宋体"/>
                <w:b/>
                <w:bCs/>
                <w:i w:val="0"/>
                <w:iCs w:val="0"/>
                <w:color w:val="FFFFFF"/>
                <w:kern w:val="0"/>
                <w:sz w:val="18"/>
                <w:szCs w:val="18"/>
                <w:u w:val="none"/>
                <w:lang w:val="en-US" w:eastAsia="zh-CN" w:bidi="ar"/>
              </w:rPr>
              <w:t>已婚女性</w:t>
            </w:r>
          </w:p>
        </w:tc>
        <w:tc>
          <w:tcPr>
            <w:tcW w:w="990" w:type="dxa"/>
            <w:shd w:val="clear" w:color="auto" w:fill="009999"/>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FFFFFF"/>
                <w:sz w:val="18"/>
                <w:szCs w:val="18"/>
                <w:u w:val="none"/>
              </w:rPr>
            </w:pPr>
            <w:r>
              <w:rPr>
                <w:rFonts w:hint="eastAsia" w:ascii="宋体" w:hAnsi="宋体" w:eastAsia="宋体" w:cs="宋体"/>
                <w:b/>
                <w:bCs/>
                <w:i w:val="0"/>
                <w:iCs w:val="0"/>
                <w:color w:val="FFFFFF"/>
                <w:kern w:val="0"/>
                <w:sz w:val="18"/>
                <w:szCs w:val="18"/>
                <w:u w:val="none"/>
                <w:lang w:val="en-US" w:eastAsia="zh-CN" w:bidi="ar"/>
              </w:rPr>
              <w:t>未婚女性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9217" w:type="dxa"/>
            <w:gridSpan w:val="5"/>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科室检查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（一）一般项目</w:t>
            </w:r>
          </w:p>
        </w:tc>
        <w:tc>
          <w:tcPr>
            <w:tcW w:w="46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体重指数（BMI）、血压(BP）、脉搏（P）</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（二）内科</w:t>
            </w:r>
          </w:p>
        </w:tc>
        <w:tc>
          <w:tcPr>
            <w:tcW w:w="46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心、肺听诊，腹部触诊及神经系统检查等</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1880" w:type="dxa"/>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（三）外科</w:t>
            </w:r>
          </w:p>
        </w:tc>
        <w:tc>
          <w:tcPr>
            <w:tcW w:w="46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皮肤、浅表淋巴结，甲状腺、乳房、脊椎、四肢、外生殖器、肛指等</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（四）眼科</w:t>
            </w:r>
          </w:p>
        </w:tc>
        <w:tc>
          <w:tcPr>
            <w:tcW w:w="46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视力、外眼、眼底镜</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（五）裂隙灯</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5" w:hRule="atLeast"/>
        </w:trPr>
        <w:tc>
          <w:tcPr>
            <w:tcW w:w="1880" w:type="dxa"/>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（六）耳、鼻、喉科</w:t>
            </w:r>
          </w:p>
        </w:tc>
        <w:tc>
          <w:tcPr>
            <w:tcW w:w="46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耳鼻、口咽</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（七）口腔科</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 妇科检查</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9217" w:type="dxa"/>
            <w:gridSpan w:val="5"/>
            <w:shd w:val="clear" w:color="auto" w:fill="009999"/>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FFFFFF" w:themeColor="background1"/>
                <w:sz w:val="18"/>
                <w:szCs w:val="18"/>
                <w:u w:val="none"/>
                <w14:textFill>
                  <w14:solidFill>
                    <w14:schemeClr w14:val="bg1"/>
                  </w14:solidFill>
                </w14:textFill>
              </w:rPr>
            </w:pPr>
            <w:r>
              <w:rPr>
                <w:rFonts w:hint="eastAsia" w:ascii="宋体" w:hAnsi="宋体" w:eastAsia="宋体" w:cs="宋体"/>
                <w:b/>
                <w:bCs/>
                <w:i w:val="0"/>
                <w:iCs w:val="0"/>
                <w:color w:val="FFFFFF" w:themeColor="background1"/>
                <w:kern w:val="0"/>
                <w:sz w:val="18"/>
                <w:szCs w:val="18"/>
                <w:u w:val="none"/>
                <w:lang w:val="en-US" w:eastAsia="zh-CN" w:bidi="ar"/>
                <w14:textFill>
                  <w14:solidFill>
                    <w14:schemeClr w14:val="bg1"/>
                  </w14:solidFill>
                </w14:textFill>
              </w:rPr>
              <w:t>实验室生化检查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（九）血常规（22 项）</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（十）肝胆功能（15 项）</w:t>
            </w: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血清总蛋白（TP）</w:t>
            </w:r>
          </w:p>
        </w:tc>
        <w:tc>
          <w:tcPr>
            <w:tcW w:w="657"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血清白蛋白（ALB）</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血清球蛋白（GLO）</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血清白蛋白/血清球蛋白（ALB/GLO）</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血清总胆红素（T-BIL）</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血清直接胆红素（D-BIL）</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间接胆红素（I-BIL）</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血清胆碱脂酶（CHE）</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乳酸脱氢酶（LDH）</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腺苷脱氨酶(ADA)</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丙氨酸氨基转移酶(ALT)</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门冬氨酸氨基转移酶(AST)</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AST/ALT</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碱性磷酸酶（ALP）</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谷氨酰转酞酶(GGT</w:t>
            </w:r>
          </w:p>
        </w:tc>
        <w:tc>
          <w:tcPr>
            <w:tcW w:w="657"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101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c>
          <w:tcPr>
            <w:tcW w:w="990" w:type="dxa"/>
            <w:vMerge w:val="continue"/>
            <w:shd w:val="clear" w:color="auto" w:fill="auto"/>
            <w:vAlign w:val="center"/>
          </w:tcPr>
          <w:p>
            <w:pPr>
              <w:spacing w:line="240" w:lineRule="auto"/>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（十一）血糖检测</w:t>
            </w: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1.空腹血糖</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2.糖化血红蛋白</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5" w:hRule="atLeast"/>
        </w:trPr>
        <w:tc>
          <w:tcPr>
            <w:tcW w:w="1880" w:type="dxa"/>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（十二）肾功能（3 项）</w:t>
            </w: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尿素氮(BUN)、血清肌酐(Cr)、血清尿酸(UA)</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（十三）血脂（8 项）</w:t>
            </w: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总胆固醇</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甘油三酯</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高密度脂蛋白</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低密度脂蛋白</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动脉硬化指数</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血清载脂蛋白 A1 测定(APO-A1)</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血清载脂蛋白 B 测定(APO-B)</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血清脂蛋白α测定(LP（a）</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（十四）甲状腺功能</w:t>
            </w: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甲状腺激素（TSH）</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三碘甲状腺原氨酸(T3)</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甲状腺素(T4)</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游离三碘甲腺原氨酸（FT3）</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游离甲状腺素（FT4）</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抗甲状腺球蛋白抗体(TG-Ab)</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甲状腺过氧化物酶抗体(TPO-Ab)</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（十五）尿常规（15 项）</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（十六）肿瘤筛查 （9 项）</w:t>
            </w: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癌胚抗原（CEA）</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甲胎蛋白（AFP）</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鳞状上皮细胞癌相关抗原测定(SCC)</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CA125</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CA153</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CA199</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PSA</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f-PSA</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CYFRA21-1</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（十七）血粘度（15 项）</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（十八）心血管检测</w:t>
            </w: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1.超敏C 反应蛋白（hs-CRP）</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2.同型半胱氨酸（HCY）</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（十九）白带常规（3 项）</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（二十）妇科检查</w:t>
            </w: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1.子宫颈抹片检查（液基超薄细胞检测,TCT）</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2.人乳头瘤病毒分析全套检测（共 25 型）</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（二十一）心电图</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6560" w:type="dxa"/>
            <w:gridSpan w:val="2"/>
            <w:shd w:val="clear" w:color="auto" w:fill="auto"/>
            <w:vAlign w:val="top"/>
          </w:tcPr>
          <w:p>
            <w:pPr>
              <w:keepNext w:val="0"/>
              <w:keepLines w:val="0"/>
              <w:widowControl/>
              <w:suppressLineNumbers w:val="0"/>
              <w:spacing w:line="240" w:lineRule="auto"/>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（二十二）低剂量螺旋 CT</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restart"/>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 B 超（彩超）</w:t>
            </w: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1.肝、胆、脾、胰、肾</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2.乳房B 超</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3.盆腔（未婚女性）</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4.阴超（已婚女性）</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5.前列腺（男性）</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990"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880" w:type="dxa"/>
            <w:vMerge w:val="continue"/>
            <w:shd w:val="clear" w:color="auto" w:fill="auto"/>
            <w:vAlign w:val="center"/>
          </w:tcPr>
          <w:p>
            <w:pPr>
              <w:spacing w:line="240" w:lineRule="auto"/>
              <w:jc w:val="left"/>
              <w:rPr>
                <w:rFonts w:hint="eastAsia" w:ascii="宋体" w:hAnsi="宋体" w:eastAsia="宋体" w:cs="宋体"/>
                <w:i w:val="0"/>
                <w:iCs w:val="0"/>
                <w:color w:val="000000"/>
                <w:sz w:val="18"/>
                <w:szCs w:val="18"/>
                <w:u w:val="none"/>
              </w:rPr>
            </w:pPr>
          </w:p>
        </w:tc>
        <w:tc>
          <w:tcPr>
            <w:tcW w:w="4680" w:type="dxa"/>
            <w:shd w:val="clear" w:color="auto" w:fill="auto"/>
            <w:vAlign w:val="top"/>
          </w:tcPr>
          <w:p>
            <w:pPr>
              <w:keepNext w:val="0"/>
              <w:keepLines w:val="0"/>
              <w:widowControl/>
              <w:suppressLineNumbers w:val="0"/>
              <w:spacing w:line="240" w:lineRule="auto"/>
              <w:jc w:val="both"/>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6.甲状腺彩超</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（二十四）乳腺疾病筛查：钼靶 X 线（</w:t>
            </w:r>
            <w:r>
              <w:rPr>
                <w:rFonts w:hint="eastAsia" w:ascii="宋体" w:hAnsi="宋体" w:eastAsia="宋体" w:cs="宋体"/>
                <w:b/>
                <w:bCs/>
                <w:i w:val="0"/>
                <w:iCs w:val="0"/>
                <w:color w:val="000000"/>
                <w:kern w:val="0"/>
                <w:sz w:val="18"/>
                <w:szCs w:val="18"/>
                <w:u w:val="none"/>
                <w:lang w:val="en-US" w:eastAsia="zh-CN" w:bidi="ar"/>
              </w:rPr>
              <w:t>★限 35 岁以上女性</w:t>
            </w:r>
            <w:r>
              <w:rPr>
                <w:rFonts w:hint="eastAsia" w:ascii="宋体" w:hAnsi="宋体" w:eastAsia="宋体" w:cs="宋体"/>
                <w:i w:val="0"/>
                <w:iCs w:val="0"/>
                <w:color w:val="000000"/>
                <w:kern w:val="0"/>
                <w:sz w:val="18"/>
                <w:szCs w:val="18"/>
                <w:u w:val="none"/>
                <w:lang w:val="en-US" w:eastAsia="zh-CN" w:bidi="ar"/>
              </w:rPr>
              <w:t>）</w:t>
            </w:r>
          </w:p>
        </w:tc>
        <w:tc>
          <w:tcPr>
            <w:tcW w:w="657" w:type="dxa"/>
            <w:shd w:val="clear" w:color="auto" w:fill="auto"/>
            <w:vAlign w:val="center"/>
          </w:tcPr>
          <w:p>
            <w:pPr>
              <w:spacing w:line="240" w:lineRule="auto"/>
              <w:jc w:val="center"/>
              <w:rPr>
                <w:rFonts w:hint="default" w:ascii="Times New Roman" w:hAnsi="Times New Roman" w:eastAsia="宋体" w:cs="Times New Roman"/>
                <w:i w:val="0"/>
                <w:iCs w:val="0"/>
                <w:color w:val="000000"/>
                <w:sz w:val="18"/>
                <w:szCs w:val="18"/>
                <w:u w:val="none"/>
              </w:rPr>
            </w:pP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（二十五）磁共振扫描（MRI）：头颅/颈椎/腰椎/上腹部/下腹部/左膝关节/右膝关节/左踝关节/右踝关节，选择一个部位</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（二十六）幽门螺旋杆菌检测</w:t>
            </w:r>
          </w:p>
        </w:tc>
        <w:tc>
          <w:tcPr>
            <w:tcW w:w="657" w:type="dxa"/>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9217" w:type="dxa"/>
            <w:gridSpan w:val="5"/>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健康早餐</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 w:hRule="atLeast"/>
        </w:trPr>
        <w:tc>
          <w:tcPr>
            <w:tcW w:w="6560" w:type="dxa"/>
            <w:gridSpan w:val="2"/>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电子版体检报告</w:t>
            </w:r>
          </w:p>
        </w:tc>
        <w:tc>
          <w:tcPr>
            <w:tcW w:w="657"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90"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bookmarkEnd w:id="13"/>
    </w:tbl>
    <w:p>
      <w:pPr>
        <w:bidi w:val="0"/>
        <w:rPr>
          <w:rFonts w:hint="eastAsia" w:ascii="微软雅黑" w:hAnsi="微软雅黑" w:eastAsia="微软雅黑" w:cs="微软雅黑"/>
          <w:b/>
          <w:bCs/>
          <w:sz w:val="22"/>
          <w:szCs w:val="22"/>
          <w:lang w:val="en-US" w:eastAsia="zh-CN"/>
        </w:rPr>
      </w:pPr>
    </w:p>
    <w:p>
      <w:pPr>
        <w:numPr>
          <w:ilvl w:val="0"/>
          <w:numId w:val="0"/>
        </w:numPr>
        <w:ind w:leftChars="0"/>
        <w:jc w:val="left"/>
        <w:outlineLvl w:val="0"/>
        <w:rPr>
          <w:rFonts w:ascii="微软雅黑" w:hAnsi="微软雅黑" w:eastAsia="微软雅黑" w:cs="微软雅黑"/>
          <w:spacing w:val="14"/>
          <w:sz w:val="17"/>
          <w:szCs w:val="17"/>
        </w:rPr>
      </w:pP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400" w:firstLineChars="200"/>
        <w:jc w:val="left"/>
        <w:textAlignment w:val="auto"/>
        <w:rPr>
          <w:rFonts w:ascii="微软雅黑" w:hAnsi="微软雅黑" w:eastAsia="微软雅黑" w:cs="微软雅黑"/>
          <w:color w:val="000000"/>
          <w:kern w:val="0"/>
          <w:lang w:bidi="ar"/>
        </w:rPr>
      </w:pPr>
      <w:r>
        <w:rPr>
          <w:rFonts w:hint="eastAsia" w:ascii="微软雅黑" w:hAnsi="微软雅黑" w:eastAsia="微软雅黑" w:cs="微软雅黑"/>
          <w:b/>
          <w:bCs/>
          <w:color w:val="FF0000"/>
          <w:sz w:val="20"/>
          <w:szCs w:val="20"/>
        </w:rPr>
        <w:t>（提示：核磁共振成像</w:t>
      </w:r>
      <w:r>
        <w:rPr>
          <w:rFonts w:hint="eastAsia" w:ascii="微软雅黑" w:hAnsi="微软雅黑" w:eastAsia="微软雅黑" w:cs="微软雅黑"/>
          <w:sz w:val="20"/>
          <w:szCs w:val="20"/>
        </w:rPr>
        <w:t>检查注意事项：受检者身体上的任何金属物件：手表、装饰、假牙、衣服金属纽扣、腰带等均需要取下，</w:t>
      </w:r>
      <w:r>
        <w:rPr>
          <w:rFonts w:hint="eastAsia" w:ascii="微软雅黑" w:hAnsi="微软雅黑" w:eastAsia="微软雅黑" w:cs="微软雅黑"/>
          <w:b/>
          <w:bCs/>
          <w:sz w:val="20"/>
          <w:szCs w:val="20"/>
        </w:rPr>
        <w:t>心脏安装起搏器，金属支架（心脏、颅脑）、骨科术后钢钉、体内遗留的弹片、电子耳、义眼、孕妇、女性子宫内放置节育器的或有幽闭恐惧症等受检者不能做核磁共振检查</w:t>
      </w:r>
      <w:r>
        <w:rPr>
          <w:rFonts w:hint="eastAsia" w:ascii="微软雅黑" w:hAnsi="微软雅黑" w:eastAsia="微软雅黑" w:cs="微软雅黑"/>
          <w:b/>
          <w:bCs/>
          <w:color w:val="FF0000"/>
          <w:sz w:val="20"/>
          <w:szCs w:val="20"/>
        </w:rPr>
        <w:t>（有以上任一情形者，请勿选择核磁套餐）</w:t>
      </w:r>
      <w:r>
        <w:rPr>
          <w:rFonts w:hint="eastAsia" w:ascii="微软雅黑" w:hAnsi="微软雅黑" w:eastAsia="微软雅黑" w:cs="微软雅黑"/>
          <w:sz w:val="20"/>
          <w:szCs w:val="20"/>
        </w:rPr>
        <w:t>，核磁共振检查时时间较长，需要保持平静状态配合检查。）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outlineLvl w:val="0"/>
        <w:rPr>
          <w:rFonts w:hint="eastAsia" w:ascii="微软雅黑" w:hAnsi="微软雅黑" w:eastAsia="微软雅黑" w:cs="微软雅黑"/>
          <w:b/>
          <w:bCs/>
          <w:kern w:val="0"/>
          <w:lang w:bidi="ar"/>
        </w:rPr>
      </w:pPr>
      <w:r>
        <w:rPr>
          <w:rFonts w:hint="eastAsia" w:ascii="微软雅黑" w:hAnsi="微软雅黑" w:eastAsia="微软雅黑" w:cs="微软雅黑"/>
          <w:color w:val="000000"/>
          <w:kern w:val="0"/>
          <w:lang w:bidi="ar"/>
        </w:rPr>
        <w:t>核磁套餐中含有</w:t>
      </w:r>
      <w:r>
        <w:rPr>
          <w:rFonts w:hint="eastAsia" w:ascii="微软雅黑" w:hAnsi="微软雅黑" w:eastAsia="微软雅黑" w:cs="微软雅黑"/>
          <w:b/>
          <w:bCs/>
          <w:color w:val="000000"/>
          <w:kern w:val="0"/>
          <w:lang w:bidi="ar"/>
        </w:rPr>
        <w:t>单个部位</w:t>
      </w:r>
      <w:r>
        <w:rPr>
          <w:rFonts w:hint="eastAsia" w:ascii="微软雅黑" w:hAnsi="微软雅黑" w:eastAsia="微软雅黑" w:cs="微软雅黑"/>
          <w:color w:val="000000"/>
          <w:kern w:val="0"/>
          <w:lang w:bidi="ar"/>
        </w:rPr>
        <w:t>磁共振扫描（MRI）项目：头颅/颈椎/腰椎/上腹部/下腹部/左膝关节/右膝关节/左踝关节/右踝关节，以上</w:t>
      </w:r>
      <w:r>
        <w:rPr>
          <w:rFonts w:hint="eastAsia" w:ascii="微软雅黑" w:hAnsi="微软雅黑" w:eastAsia="微软雅黑" w:cs="微软雅黑"/>
          <w:kern w:val="0"/>
          <w:lang w:bidi="ar"/>
        </w:rPr>
        <w:t>也可多选，超过一个部位需现场加项自付费，</w:t>
      </w:r>
      <w:r>
        <w:rPr>
          <w:rFonts w:hint="eastAsia" w:ascii="微软雅黑" w:hAnsi="微软雅黑" w:eastAsia="微软雅黑" w:cs="微软雅黑"/>
          <w:b/>
          <w:bCs/>
          <w:kern w:val="0"/>
          <w:lang w:bidi="ar"/>
        </w:rPr>
        <w:t>默认是头颅核磁，如需更换其他部位，支持现场开始体检之前更换，单个部位准备加检查时间10-15分钟。</w:t>
      </w: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outlineLvl w:val="0"/>
        <w:rPr>
          <w:rFonts w:hint="eastAsia" w:ascii="微软雅黑" w:hAnsi="微软雅黑" w:eastAsia="微软雅黑" w:cs="微软雅黑"/>
          <w:color w:val="auto"/>
          <w:kern w:val="0"/>
          <w:highlight w:val="yellow"/>
          <w:lang w:bidi="ar"/>
        </w:rPr>
      </w:pPr>
      <w:r>
        <w:rPr>
          <w:rFonts w:hint="eastAsia" w:ascii="微软雅黑" w:hAnsi="微软雅黑" w:eastAsia="微软雅黑" w:cs="微软雅黑"/>
          <w:color w:val="auto"/>
          <w:kern w:val="0"/>
          <w:highlight w:val="yellow"/>
          <w:lang w:bidi="ar"/>
        </w:rPr>
        <w:t>另外对于没有核磁设备的机构，</w:t>
      </w:r>
      <w:r>
        <w:rPr>
          <w:rFonts w:hint="eastAsia" w:ascii="微软雅黑" w:hAnsi="微软雅黑" w:eastAsia="微软雅黑" w:cs="微软雅黑"/>
          <w:color w:val="auto"/>
          <w:kern w:val="0"/>
          <w:highlight w:val="yellow"/>
          <w:lang w:val="en-US" w:eastAsia="zh-CN" w:bidi="ar"/>
        </w:rPr>
        <w:t>可以选择固定-无核磁套餐，</w:t>
      </w:r>
      <w:r>
        <w:rPr>
          <w:rFonts w:hint="eastAsia" w:ascii="微软雅黑" w:hAnsi="微软雅黑" w:eastAsia="微软雅黑" w:cs="微软雅黑"/>
          <w:color w:val="auto"/>
          <w:kern w:val="0"/>
          <w:highlight w:val="yellow"/>
          <w:lang w:bidi="ar"/>
        </w:rPr>
        <w:t>我们提供如下</w:t>
      </w:r>
      <w:r>
        <w:rPr>
          <w:rFonts w:hint="eastAsia" w:ascii="微软雅黑" w:hAnsi="微软雅黑" w:eastAsia="微软雅黑" w:cs="微软雅黑"/>
          <w:color w:val="auto"/>
          <w:kern w:val="0"/>
          <w:highlight w:val="yellow"/>
          <w:lang w:val="en-US" w:eastAsia="zh-CN" w:bidi="ar"/>
        </w:rPr>
        <w:t>项目替换核磁项目</w:t>
      </w:r>
      <w:r>
        <w:rPr>
          <w:rFonts w:hint="eastAsia" w:ascii="微软雅黑" w:hAnsi="微软雅黑" w:eastAsia="微软雅黑" w:cs="微软雅黑"/>
          <w:color w:val="auto"/>
          <w:kern w:val="0"/>
          <w:highlight w:val="yellow"/>
          <w:lang w:bidi="ar"/>
        </w:rPr>
        <w:t>：</w:t>
      </w:r>
    </w:p>
    <w:p>
      <w:pPr>
        <w:bidi w:val="0"/>
        <w:rPr>
          <w:rFonts w:hint="eastAsia" w:ascii="微软雅黑" w:hAnsi="微软雅黑" w:eastAsia="微软雅黑" w:cs="微软雅黑"/>
          <w:b/>
          <w:bCs/>
          <w:sz w:val="30"/>
          <w:szCs w:val="30"/>
          <w:lang w:val="en-US" w:eastAsia="zh-CN"/>
        </w:rPr>
      </w:pPr>
      <w:r>
        <w:rPr>
          <w:rFonts w:hint="eastAsia" w:ascii="微软雅黑" w:hAnsi="微软雅黑" w:eastAsia="微软雅黑" w:cs="微软雅黑"/>
          <w:b/>
          <w:bCs/>
          <w:sz w:val="24"/>
          <w:szCs w:val="24"/>
          <w:lang w:val="en-US" w:eastAsia="zh-CN"/>
        </w:rPr>
        <w:t>固定套餐-不含核磁（</w:t>
      </w:r>
      <w:r>
        <w:rPr>
          <w:rFonts w:ascii="微软雅黑" w:hAnsi="微软雅黑" w:eastAsia="微软雅黑" w:cs="微软雅黑"/>
          <w:b/>
          <w:bCs/>
          <w:spacing w:val="14"/>
          <w:sz w:val="20"/>
          <w:szCs w:val="20"/>
        </w:rPr>
        <w:t>核</w:t>
      </w:r>
      <w:r>
        <w:rPr>
          <w:rFonts w:ascii="微软雅黑" w:hAnsi="微软雅黑" w:eastAsia="微软雅黑" w:cs="微软雅黑"/>
          <w:b/>
          <w:bCs/>
          <w:spacing w:val="9"/>
          <w:sz w:val="20"/>
          <w:szCs w:val="20"/>
        </w:rPr>
        <w:t>磁共振替换</w:t>
      </w:r>
      <w:r>
        <w:rPr>
          <w:rFonts w:hint="eastAsia" w:ascii="微软雅黑" w:hAnsi="微软雅黑" w:eastAsia="微软雅黑" w:cs="微软雅黑"/>
          <w:b/>
          <w:bCs/>
          <w:spacing w:val="9"/>
          <w:sz w:val="20"/>
          <w:szCs w:val="20"/>
          <w:lang w:val="en-US" w:eastAsia="zh-CN"/>
        </w:rPr>
        <w:t>项目）</w:t>
      </w:r>
    </w:p>
    <w:tbl>
      <w:tblPr>
        <w:tblStyle w:val="17"/>
        <w:tblW w:w="91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0"/>
        <w:gridCol w:w="1670"/>
        <w:gridCol w:w="5550"/>
        <w:gridCol w:w="7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620" w:hRule="atLeast"/>
          <w:jc w:val="center"/>
        </w:trPr>
        <w:tc>
          <w:tcPr>
            <w:tcW w:w="1170"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73" w:line="191" w:lineRule="auto"/>
              <w:ind w:left="116"/>
              <w:rPr>
                <w:rFonts w:ascii="微软雅黑" w:hAnsi="微软雅黑" w:eastAsia="微软雅黑" w:cs="微软雅黑"/>
                <w:sz w:val="17"/>
                <w:szCs w:val="17"/>
              </w:rPr>
            </w:pPr>
            <w:r>
              <w:rPr>
                <w:rFonts w:ascii="微软雅黑" w:hAnsi="微软雅黑" w:eastAsia="微软雅黑" w:cs="微软雅黑"/>
                <w:color w:val="333333"/>
                <w:sz w:val="17"/>
                <w:szCs w:val="17"/>
              </w:rPr>
              <w:t>CT</w:t>
            </w:r>
            <w:r>
              <w:rPr>
                <w:rFonts w:ascii="微软雅黑" w:hAnsi="微软雅黑" w:eastAsia="微软雅黑" w:cs="微软雅黑"/>
                <w:color w:val="333333"/>
                <w:spacing w:val="4"/>
                <w:sz w:val="17"/>
                <w:szCs w:val="17"/>
              </w:rPr>
              <w:t xml:space="preserve"> 室</w:t>
            </w:r>
          </w:p>
        </w:tc>
        <w:tc>
          <w:tcPr>
            <w:tcW w:w="1670" w:type="dxa"/>
            <w:vAlign w:val="top"/>
          </w:tcPr>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before="73" w:line="190" w:lineRule="auto"/>
              <w:ind w:left="107"/>
              <w:rPr>
                <w:rFonts w:ascii="微软雅黑" w:hAnsi="微软雅黑" w:eastAsia="微软雅黑" w:cs="微软雅黑"/>
                <w:sz w:val="17"/>
                <w:szCs w:val="17"/>
              </w:rPr>
            </w:pPr>
            <w:r>
              <w:rPr>
                <w:rFonts w:ascii="微软雅黑" w:hAnsi="微软雅黑" w:eastAsia="微软雅黑" w:cs="微软雅黑"/>
                <w:color w:val="333333"/>
                <w:spacing w:val="8"/>
                <w:sz w:val="17"/>
                <w:szCs w:val="17"/>
              </w:rPr>
              <w:t>头颅</w:t>
            </w:r>
            <w:r>
              <w:rPr>
                <w:rFonts w:ascii="微软雅黑" w:hAnsi="微软雅黑" w:eastAsia="微软雅黑" w:cs="微软雅黑"/>
                <w:color w:val="333333"/>
                <w:spacing w:val="7"/>
                <w:sz w:val="17"/>
                <w:szCs w:val="17"/>
              </w:rPr>
              <w:t xml:space="preserve"> </w:t>
            </w:r>
            <w:r>
              <w:rPr>
                <w:rFonts w:ascii="微软雅黑" w:hAnsi="微软雅黑" w:eastAsia="微软雅黑" w:cs="微软雅黑"/>
                <w:color w:val="333333"/>
                <w:sz w:val="17"/>
                <w:szCs w:val="17"/>
              </w:rPr>
              <w:t>CT</w:t>
            </w:r>
          </w:p>
        </w:tc>
        <w:tc>
          <w:tcPr>
            <w:tcW w:w="5550" w:type="dxa"/>
            <w:vAlign w:val="top"/>
          </w:tcPr>
          <w:p>
            <w:pPr>
              <w:spacing w:before="77" w:line="246" w:lineRule="auto"/>
              <w:ind w:left="106" w:right="54" w:firstLine="6"/>
              <w:rPr>
                <w:rFonts w:ascii="微软雅黑" w:hAnsi="微软雅黑" w:eastAsia="微软雅黑" w:cs="微软雅黑"/>
                <w:sz w:val="17"/>
                <w:szCs w:val="17"/>
              </w:rPr>
            </w:pPr>
            <w:r>
              <w:rPr>
                <w:rFonts w:ascii="微软雅黑" w:hAnsi="微软雅黑" w:eastAsia="微软雅黑" w:cs="微软雅黑"/>
                <w:color w:val="333333"/>
                <w:sz w:val="17"/>
                <w:szCs w:val="17"/>
              </w:rPr>
              <w:t>CT</w:t>
            </w:r>
            <w:r>
              <w:rPr>
                <w:rFonts w:ascii="微软雅黑" w:hAnsi="微软雅黑" w:eastAsia="微软雅黑" w:cs="微软雅黑"/>
                <w:color w:val="333333"/>
                <w:spacing w:val="3"/>
                <w:sz w:val="17"/>
                <w:szCs w:val="17"/>
              </w:rPr>
              <w:t xml:space="preserve"> 具有扫描速度快 ，覆盖面积大 ，采集信息量多等</w:t>
            </w:r>
            <w:r>
              <w:rPr>
                <w:rFonts w:ascii="微软雅黑" w:hAnsi="微软雅黑" w:eastAsia="微软雅黑" w:cs="微软雅黑"/>
                <w:color w:val="333333"/>
                <w:spacing w:val="2"/>
                <w:sz w:val="17"/>
                <w:szCs w:val="17"/>
              </w:rPr>
              <w:t>优</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7"/>
                <w:sz w:val="17"/>
                <w:szCs w:val="17"/>
              </w:rPr>
              <w:t>点</w:t>
            </w:r>
            <w:r>
              <w:rPr>
                <w:rFonts w:ascii="微软雅黑" w:hAnsi="微软雅黑" w:eastAsia="微软雅黑" w:cs="微软雅黑"/>
                <w:color w:val="333333"/>
                <w:spacing w:val="5"/>
                <w:sz w:val="17"/>
                <w:szCs w:val="17"/>
              </w:rPr>
              <w:t xml:space="preserve"> ，在短时间内能够对全身各脏器进行检查 ，可以进</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2"/>
                <w:sz w:val="17"/>
                <w:szCs w:val="17"/>
              </w:rPr>
              <w:t>行</w:t>
            </w:r>
            <w:r>
              <w:rPr>
                <w:rFonts w:ascii="微软雅黑" w:hAnsi="微软雅黑" w:eastAsia="微软雅黑" w:cs="微软雅黑"/>
                <w:color w:val="333333"/>
                <w:spacing w:val="7"/>
                <w:sz w:val="17"/>
                <w:szCs w:val="17"/>
              </w:rPr>
              <w:t>多</w:t>
            </w:r>
            <w:r>
              <w:rPr>
                <w:rFonts w:ascii="微软雅黑" w:hAnsi="微软雅黑" w:eastAsia="微软雅黑" w:cs="微软雅黑"/>
                <w:color w:val="333333"/>
                <w:spacing w:val="6"/>
                <w:sz w:val="17"/>
                <w:szCs w:val="17"/>
              </w:rPr>
              <w:t>平面的重建和重组对病变达到准确的定位、定性、</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7"/>
                <w:sz w:val="17"/>
                <w:szCs w:val="17"/>
              </w:rPr>
              <w:t>定</w:t>
            </w:r>
            <w:r>
              <w:rPr>
                <w:rFonts w:ascii="微软雅黑" w:hAnsi="微软雅黑" w:eastAsia="微软雅黑" w:cs="微软雅黑"/>
                <w:color w:val="333333"/>
                <w:spacing w:val="5"/>
                <w:sz w:val="17"/>
                <w:szCs w:val="17"/>
              </w:rPr>
              <w:t>量的诊断 ；特别是对早期病变的发现及诊断 ，疾病</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4"/>
                <w:sz w:val="17"/>
                <w:szCs w:val="17"/>
              </w:rPr>
              <w:t>治</w:t>
            </w:r>
            <w:r>
              <w:rPr>
                <w:rFonts w:ascii="微软雅黑" w:hAnsi="微软雅黑" w:eastAsia="微软雅黑" w:cs="微软雅黑"/>
                <w:color w:val="333333"/>
                <w:spacing w:val="9"/>
                <w:sz w:val="17"/>
                <w:szCs w:val="17"/>
              </w:rPr>
              <w:t>疗</w:t>
            </w:r>
            <w:r>
              <w:rPr>
                <w:rFonts w:ascii="微软雅黑" w:hAnsi="微软雅黑" w:eastAsia="微软雅黑" w:cs="微软雅黑"/>
                <w:color w:val="333333"/>
                <w:spacing w:val="7"/>
                <w:sz w:val="17"/>
                <w:szCs w:val="17"/>
              </w:rPr>
              <w:t>后的疗效判定 ，良恶性病变的鉴别等有着显著的</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9"/>
                <w:sz w:val="17"/>
                <w:szCs w:val="17"/>
              </w:rPr>
              <w:t>临</w:t>
            </w:r>
            <w:r>
              <w:rPr>
                <w:rFonts w:ascii="微软雅黑" w:hAnsi="微软雅黑" w:eastAsia="微软雅黑" w:cs="微软雅黑"/>
                <w:color w:val="333333"/>
                <w:spacing w:val="7"/>
                <w:sz w:val="17"/>
                <w:szCs w:val="17"/>
              </w:rPr>
              <w:t>床意义。</w:t>
            </w:r>
          </w:p>
        </w:tc>
        <w:tc>
          <w:tcPr>
            <w:tcW w:w="710" w:type="dxa"/>
            <w:vAlign w:val="top"/>
          </w:tcPr>
          <w:p>
            <w:pPr>
              <w:spacing w:line="262" w:lineRule="auto"/>
              <w:jc w:val="both"/>
              <w:rPr>
                <w:rFonts w:ascii="Arial"/>
                <w:sz w:val="21"/>
              </w:rPr>
            </w:pPr>
          </w:p>
          <w:p>
            <w:pPr>
              <w:spacing w:line="262" w:lineRule="auto"/>
              <w:jc w:val="both"/>
              <w:rPr>
                <w:rFonts w:ascii="Arial"/>
                <w:sz w:val="21"/>
              </w:rPr>
            </w:pPr>
          </w:p>
          <w:p>
            <w:pPr>
              <w:spacing w:line="262" w:lineRule="auto"/>
              <w:jc w:val="both"/>
              <w:rPr>
                <w:rFonts w:ascii="Arial"/>
                <w:sz w:val="21"/>
              </w:rPr>
            </w:pPr>
          </w:p>
          <w:p>
            <w:pPr>
              <w:spacing w:before="73"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jc w:val="center"/>
        </w:trPr>
        <w:tc>
          <w:tcPr>
            <w:tcW w:w="1170" w:type="dxa"/>
            <w:vAlign w:val="top"/>
          </w:tcPr>
          <w:p>
            <w:pPr>
              <w:spacing w:before="84" w:line="192" w:lineRule="auto"/>
              <w:ind w:left="109"/>
              <w:rPr>
                <w:rFonts w:ascii="微软雅黑" w:hAnsi="微软雅黑" w:eastAsia="微软雅黑" w:cs="微软雅黑"/>
                <w:sz w:val="17"/>
                <w:szCs w:val="17"/>
              </w:rPr>
            </w:pPr>
            <w:r>
              <w:rPr>
                <w:rFonts w:ascii="微软雅黑" w:hAnsi="微软雅黑" w:eastAsia="微软雅黑" w:cs="微软雅黑"/>
                <w:color w:val="333333"/>
                <w:spacing w:val="11"/>
                <w:sz w:val="17"/>
                <w:szCs w:val="17"/>
              </w:rPr>
              <w:t>胰</w:t>
            </w:r>
            <w:r>
              <w:rPr>
                <w:rFonts w:ascii="微软雅黑" w:hAnsi="微软雅黑" w:eastAsia="微软雅黑" w:cs="微软雅黑"/>
                <w:color w:val="333333"/>
                <w:spacing w:val="9"/>
                <w:sz w:val="17"/>
                <w:szCs w:val="17"/>
              </w:rPr>
              <w:t>脏功能</w:t>
            </w:r>
          </w:p>
        </w:tc>
        <w:tc>
          <w:tcPr>
            <w:tcW w:w="1670" w:type="dxa"/>
            <w:vAlign w:val="top"/>
          </w:tcPr>
          <w:p>
            <w:pPr>
              <w:spacing w:before="52" w:line="231" w:lineRule="auto"/>
              <w:ind w:left="106"/>
              <w:rPr>
                <w:rFonts w:ascii="微软雅黑" w:hAnsi="微软雅黑" w:eastAsia="微软雅黑" w:cs="微软雅黑"/>
                <w:sz w:val="17"/>
                <w:szCs w:val="17"/>
              </w:rPr>
            </w:pPr>
            <w:r>
              <w:rPr>
                <w:rFonts w:ascii="微软雅黑" w:hAnsi="微软雅黑" w:eastAsia="微软雅黑" w:cs="微软雅黑"/>
                <w:color w:val="333333"/>
                <w:spacing w:val="13"/>
                <w:sz w:val="17"/>
                <w:szCs w:val="17"/>
              </w:rPr>
              <w:t>淀</w:t>
            </w:r>
            <w:r>
              <w:rPr>
                <w:rFonts w:ascii="微软雅黑" w:hAnsi="微软雅黑" w:eastAsia="微软雅黑" w:cs="微软雅黑"/>
                <w:color w:val="333333"/>
                <w:spacing w:val="10"/>
                <w:sz w:val="17"/>
                <w:szCs w:val="17"/>
              </w:rPr>
              <w:t xml:space="preserve">粉酶 ( </w:t>
            </w:r>
            <w:r>
              <w:rPr>
                <w:rFonts w:ascii="微软雅黑" w:hAnsi="微软雅黑" w:eastAsia="微软雅黑" w:cs="微软雅黑"/>
                <w:color w:val="333333"/>
                <w:sz w:val="17"/>
                <w:szCs w:val="17"/>
              </w:rPr>
              <w:t>AMY</w:t>
            </w:r>
            <w:r>
              <w:rPr>
                <w:rFonts w:ascii="微软雅黑" w:hAnsi="微软雅黑" w:eastAsia="微软雅黑" w:cs="微软雅黑"/>
                <w:color w:val="333333"/>
                <w:spacing w:val="10"/>
                <w:sz w:val="17"/>
                <w:szCs w:val="17"/>
              </w:rPr>
              <w:t xml:space="preserve"> )</w:t>
            </w:r>
          </w:p>
        </w:tc>
        <w:tc>
          <w:tcPr>
            <w:tcW w:w="5550" w:type="dxa"/>
            <w:vAlign w:val="top"/>
          </w:tcPr>
          <w:p>
            <w:pPr>
              <w:spacing w:before="84" w:line="192" w:lineRule="auto"/>
              <w:ind w:left="108"/>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主要用于诊断急、慢性胰腺炎</w:t>
            </w:r>
            <w:r>
              <w:rPr>
                <w:rFonts w:ascii="微软雅黑" w:hAnsi="微软雅黑" w:eastAsia="微软雅黑" w:cs="微软雅黑"/>
                <w:color w:val="333333"/>
                <w:spacing w:val="8"/>
                <w:sz w:val="17"/>
                <w:szCs w:val="17"/>
              </w:rPr>
              <w:t>。</w:t>
            </w:r>
          </w:p>
        </w:tc>
        <w:tc>
          <w:tcPr>
            <w:tcW w:w="710" w:type="dxa"/>
            <w:vAlign w:val="top"/>
          </w:tcPr>
          <w:p>
            <w:pPr>
              <w:spacing w:before="90"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1170" w:type="dxa"/>
            <w:vAlign w:val="top"/>
          </w:tcPr>
          <w:p>
            <w:pPr>
              <w:spacing w:line="314" w:lineRule="auto"/>
              <w:rPr>
                <w:rFonts w:ascii="Arial"/>
                <w:sz w:val="21"/>
              </w:rPr>
            </w:pPr>
          </w:p>
          <w:p>
            <w:pPr>
              <w:spacing w:before="73" w:line="191" w:lineRule="auto"/>
              <w:ind w:left="109"/>
              <w:rPr>
                <w:rFonts w:ascii="微软雅黑" w:hAnsi="微软雅黑" w:eastAsia="微软雅黑" w:cs="微软雅黑"/>
                <w:sz w:val="17"/>
                <w:szCs w:val="17"/>
              </w:rPr>
            </w:pPr>
            <w:r>
              <w:rPr>
                <w:rFonts w:ascii="微软雅黑" w:hAnsi="微软雅黑" w:eastAsia="微软雅黑" w:cs="微软雅黑"/>
                <w:color w:val="333333"/>
                <w:spacing w:val="11"/>
                <w:sz w:val="17"/>
                <w:szCs w:val="17"/>
              </w:rPr>
              <w:t>免</w:t>
            </w:r>
            <w:r>
              <w:rPr>
                <w:rFonts w:ascii="微软雅黑" w:hAnsi="微软雅黑" w:eastAsia="微软雅黑" w:cs="微软雅黑"/>
                <w:color w:val="333333"/>
                <w:spacing w:val="9"/>
                <w:sz w:val="17"/>
                <w:szCs w:val="17"/>
              </w:rPr>
              <w:t>疫测定</w:t>
            </w:r>
          </w:p>
        </w:tc>
        <w:tc>
          <w:tcPr>
            <w:tcW w:w="1670" w:type="dxa"/>
            <w:vAlign w:val="top"/>
          </w:tcPr>
          <w:p>
            <w:pPr>
              <w:spacing w:line="313" w:lineRule="auto"/>
              <w:rPr>
                <w:rFonts w:ascii="Arial"/>
                <w:sz w:val="21"/>
              </w:rPr>
            </w:pPr>
          </w:p>
          <w:p>
            <w:pPr>
              <w:spacing w:before="73" w:line="192" w:lineRule="auto"/>
              <w:ind w:left="105"/>
              <w:rPr>
                <w:rFonts w:ascii="微软雅黑" w:hAnsi="微软雅黑" w:eastAsia="微软雅黑" w:cs="微软雅黑"/>
                <w:sz w:val="17"/>
                <w:szCs w:val="17"/>
              </w:rPr>
            </w:pPr>
            <w:r>
              <w:rPr>
                <w:rFonts w:ascii="微软雅黑" w:hAnsi="微软雅黑" w:eastAsia="微软雅黑" w:cs="微软雅黑"/>
                <w:color w:val="333333"/>
                <w:spacing w:val="14"/>
                <w:sz w:val="17"/>
                <w:szCs w:val="17"/>
              </w:rPr>
              <w:t>免</w:t>
            </w:r>
            <w:r>
              <w:rPr>
                <w:rFonts w:ascii="微软雅黑" w:hAnsi="微软雅黑" w:eastAsia="微软雅黑" w:cs="微软雅黑"/>
                <w:color w:val="333333"/>
                <w:spacing w:val="9"/>
                <w:sz w:val="17"/>
                <w:szCs w:val="17"/>
              </w:rPr>
              <w:t>疫球蛋白三项</w:t>
            </w:r>
          </w:p>
        </w:tc>
        <w:tc>
          <w:tcPr>
            <w:tcW w:w="5550" w:type="dxa"/>
            <w:vAlign w:val="top"/>
          </w:tcPr>
          <w:p>
            <w:pPr>
              <w:spacing w:before="76" w:line="235" w:lineRule="auto"/>
              <w:ind w:left="105" w:right="148"/>
              <w:rPr>
                <w:rFonts w:ascii="微软雅黑" w:hAnsi="微软雅黑" w:eastAsia="微软雅黑" w:cs="微软雅黑"/>
                <w:sz w:val="17"/>
                <w:szCs w:val="17"/>
              </w:rPr>
            </w:pPr>
            <w:r>
              <w:rPr>
                <w:rFonts w:ascii="微软雅黑" w:hAnsi="微软雅黑" w:eastAsia="微软雅黑" w:cs="微软雅黑"/>
                <w:color w:val="333333"/>
                <w:spacing w:val="7"/>
                <w:sz w:val="17"/>
                <w:szCs w:val="17"/>
              </w:rPr>
              <w:t>反映机体的体液免疫功能状态 ，有助于感染性疾病</w:t>
            </w:r>
            <w:r>
              <w:rPr>
                <w:rFonts w:ascii="微软雅黑" w:hAnsi="微软雅黑" w:eastAsia="微软雅黑" w:cs="微软雅黑"/>
                <w:color w:val="333333"/>
                <w:spacing w:val="6"/>
                <w:sz w:val="17"/>
                <w:szCs w:val="17"/>
              </w:rPr>
              <w:t>、</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0"/>
                <w:sz w:val="17"/>
                <w:szCs w:val="17"/>
              </w:rPr>
              <w:t>免疫增生性疾病和免疫缺陷病等的鉴别诊断、疾病</w:t>
            </w:r>
            <w:r>
              <w:rPr>
                <w:rFonts w:ascii="微软雅黑" w:hAnsi="微软雅黑" w:eastAsia="微软雅黑" w:cs="微软雅黑"/>
                <w:color w:val="333333"/>
                <w:spacing w:val="8"/>
                <w:sz w:val="17"/>
                <w:szCs w:val="17"/>
              </w:rPr>
              <w:t>监</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0"/>
                <w:sz w:val="17"/>
                <w:szCs w:val="17"/>
              </w:rPr>
              <w:t>控</w:t>
            </w:r>
            <w:r>
              <w:rPr>
                <w:rFonts w:ascii="微软雅黑" w:hAnsi="微软雅黑" w:eastAsia="微软雅黑" w:cs="微软雅黑"/>
                <w:color w:val="333333"/>
                <w:spacing w:val="7"/>
                <w:sz w:val="17"/>
                <w:szCs w:val="17"/>
              </w:rPr>
              <w:t>和预后。</w:t>
            </w:r>
          </w:p>
        </w:tc>
        <w:tc>
          <w:tcPr>
            <w:tcW w:w="710" w:type="dxa"/>
            <w:vAlign w:val="top"/>
          </w:tcPr>
          <w:p>
            <w:pPr>
              <w:spacing w:line="319" w:lineRule="auto"/>
              <w:jc w:val="both"/>
              <w:rPr>
                <w:rFonts w:ascii="Arial"/>
                <w:sz w:val="21"/>
              </w:rPr>
            </w:pPr>
          </w:p>
          <w:p>
            <w:pPr>
              <w:spacing w:before="73"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170" w:type="dxa"/>
            <w:vMerge w:val="restart"/>
            <w:tcBorders>
              <w:bottom w:val="nil"/>
            </w:tcBorders>
            <w:vAlign w:val="top"/>
          </w:tcPr>
          <w:p>
            <w:pPr>
              <w:spacing w:line="318" w:lineRule="auto"/>
              <w:rPr>
                <w:rFonts w:ascii="Arial"/>
                <w:sz w:val="21"/>
              </w:rPr>
            </w:pPr>
          </w:p>
          <w:p>
            <w:pPr>
              <w:spacing w:line="319" w:lineRule="auto"/>
              <w:rPr>
                <w:rFonts w:ascii="Arial"/>
                <w:sz w:val="21"/>
              </w:rPr>
            </w:pPr>
          </w:p>
          <w:p>
            <w:pPr>
              <w:spacing w:before="73" w:line="191" w:lineRule="auto"/>
              <w:ind w:left="128"/>
              <w:rPr>
                <w:rFonts w:ascii="微软雅黑" w:hAnsi="微软雅黑" w:eastAsia="微软雅黑" w:cs="微软雅黑"/>
                <w:sz w:val="17"/>
                <w:szCs w:val="17"/>
              </w:rPr>
            </w:pPr>
            <w:r>
              <w:rPr>
                <w:rFonts w:ascii="微软雅黑" w:hAnsi="微软雅黑" w:eastAsia="微软雅黑" w:cs="微软雅黑"/>
                <w:color w:val="333333"/>
                <w:spacing w:val="5"/>
                <w:sz w:val="17"/>
                <w:szCs w:val="17"/>
              </w:rPr>
              <w:t>胃部筛</w:t>
            </w:r>
            <w:r>
              <w:rPr>
                <w:rFonts w:ascii="微软雅黑" w:hAnsi="微软雅黑" w:eastAsia="微软雅黑" w:cs="微软雅黑"/>
                <w:color w:val="333333"/>
                <w:spacing w:val="4"/>
                <w:sz w:val="17"/>
                <w:szCs w:val="17"/>
              </w:rPr>
              <w:t>查</w:t>
            </w:r>
          </w:p>
        </w:tc>
        <w:tc>
          <w:tcPr>
            <w:tcW w:w="1670" w:type="dxa"/>
            <w:vAlign w:val="top"/>
          </w:tcPr>
          <w:p>
            <w:pPr>
              <w:spacing w:before="78" w:line="191" w:lineRule="auto"/>
              <w:ind w:left="124"/>
              <w:rPr>
                <w:rFonts w:ascii="微软雅黑" w:hAnsi="微软雅黑" w:eastAsia="微软雅黑" w:cs="微软雅黑"/>
                <w:sz w:val="17"/>
                <w:szCs w:val="17"/>
              </w:rPr>
            </w:pPr>
            <w:r>
              <w:rPr>
                <w:rFonts w:ascii="微软雅黑" w:hAnsi="微软雅黑" w:eastAsia="微软雅黑" w:cs="微软雅黑"/>
                <w:color w:val="333333"/>
                <w:spacing w:val="6"/>
                <w:sz w:val="17"/>
                <w:szCs w:val="17"/>
              </w:rPr>
              <w:t>胃泌素检</w:t>
            </w:r>
            <w:r>
              <w:rPr>
                <w:rFonts w:ascii="微软雅黑" w:hAnsi="微软雅黑" w:eastAsia="微软雅黑" w:cs="微软雅黑"/>
                <w:color w:val="333333"/>
                <w:spacing w:val="5"/>
                <w:sz w:val="17"/>
                <w:szCs w:val="17"/>
              </w:rPr>
              <w:t>测</w:t>
            </w:r>
          </w:p>
        </w:tc>
        <w:tc>
          <w:tcPr>
            <w:tcW w:w="5550" w:type="dxa"/>
            <w:vMerge w:val="restart"/>
            <w:tcBorders>
              <w:bottom w:val="nil"/>
            </w:tcBorders>
            <w:vAlign w:val="top"/>
          </w:tcPr>
          <w:p>
            <w:pPr>
              <w:spacing w:before="57" w:line="249" w:lineRule="auto"/>
              <w:ind w:left="105" w:right="148" w:firstLine="15"/>
              <w:rPr>
                <w:rFonts w:ascii="微软雅黑" w:hAnsi="微软雅黑" w:eastAsia="微软雅黑" w:cs="微软雅黑"/>
                <w:sz w:val="17"/>
                <w:szCs w:val="17"/>
              </w:rPr>
            </w:pPr>
            <w:r>
              <w:rPr>
                <w:rFonts w:ascii="微软雅黑" w:hAnsi="微软雅黑" w:eastAsia="微软雅黑" w:cs="微软雅黑"/>
                <w:color w:val="333333"/>
                <w:spacing w:val="-2"/>
                <w:sz w:val="17"/>
                <w:szCs w:val="17"/>
              </w:rPr>
              <w:t>PG Ⅰ ，PGⅡ ，PG Ⅰ/ PGⅡ比值测定 ，可用于胃癌、</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6"/>
                <w:sz w:val="17"/>
                <w:szCs w:val="17"/>
              </w:rPr>
              <w:t>胃</w:t>
            </w:r>
            <w:r>
              <w:rPr>
                <w:rFonts w:ascii="微软雅黑" w:hAnsi="微软雅黑" w:eastAsia="微软雅黑" w:cs="微软雅黑"/>
                <w:color w:val="333333"/>
                <w:spacing w:val="11"/>
                <w:sz w:val="17"/>
                <w:szCs w:val="17"/>
              </w:rPr>
              <w:t>溃</w:t>
            </w:r>
            <w:r>
              <w:rPr>
                <w:rFonts w:ascii="微软雅黑" w:hAnsi="微软雅黑" w:eastAsia="微软雅黑" w:cs="微软雅黑"/>
                <w:color w:val="333333"/>
                <w:spacing w:val="8"/>
                <w:sz w:val="17"/>
                <w:szCs w:val="17"/>
              </w:rPr>
              <w:t xml:space="preserve">疡、萎缩性胃炎的初筛。高 </w:t>
            </w:r>
            <w:r>
              <w:rPr>
                <w:rFonts w:ascii="微软雅黑" w:hAnsi="微软雅黑" w:eastAsia="微软雅黑" w:cs="微软雅黑"/>
                <w:color w:val="333333"/>
                <w:sz w:val="17"/>
                <w:szCs w:val="17"/>
              </w:rPr>
              <w:t>G</w:t>
            </w:r>
            <w:r>
              <w:rPr>
                <w:rFonts w:ascii="微软雅黑" w:hAnsi="微软雅黑" w:eastAsia="微软雅黑" w:cs="微软雅黑"/>
                <w:color w:val="333333"/>
                <w:spacing w:val="8"/>
                <w:sz w:val="17"/>
                <w:szCs w:val="17"/>
              </w:rPr>
              <w:t>-17 分泌在胃癌发</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2"/>
                <w:sz w:val="17"/>
                <w:szCs w:val="17"/>
              </w:rPr>
              <w:t>展过</w:t>
            </w:r>
            <w:r>
              <w:rPr>
                <w:rFonts w:ascii="微软雅黑" w:hAnsi="微软雅黑" w:eastAsia="微软雅黑" w:cs="微软雅黑"/>
                <w:color w:val="333333"/>
                <w:spacing w:val="-1"/>
                <w:sz w:val="17"/>
                <w:szCs w:val="17"/>
              </w:rPr>
              <w:t>程中起重要促进作用 ，结合 PG Ⅰ 、  PGⅡ判断胃</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4"/>
                <w:sz w:val="17"/>
                <w:szCs w:val="17"/>
              </w:rPr>
              <w:t>萎</w:t>
            </w:r>
            <w:r>
              <w:rPr>
                <w:rFonts w:ascii="微软雅黑" w:hAnsi="微软雅黑" w:eastAsia="微软雅黑" w:cs="微软雅黑"/>
                <w:color w:val="333333"/>
                <w:spacing w:val="9"/>
                <w:sz w:val="17"/>
                <w:szCs w:val="17"/>
              </w:rPr>
              <w:t>缩</w:t>
            </w:r>
            <w:r>
              <w:rPr>
                <w:rFonts w:ascii="微软雅黑" w:hAnsi="微软雅黑" w:eastAsia="微软雅黑" w:cs="微软雅黑"/>
                <w:color w:val="333333"/>
                <w:spacing w:val="7"/>
                <w:sz w:val="17"/>
                <w:szCs w:val="17"/>
              </w:rPr>
              <w:t>的部位和萎缩程度 ，以及胃癌的早期发现和预警</w:t>
            </w:r>
            <w:r>
              <w:rPr>
                <w:rFonts w:ascii="微软雅黑" w:hAnsi="微软雅黑" w:eastAsia="微软雅黑" w:cs="微软雅黑"/>
                <w:color w:val="333333"/>
                <w:sz w:val="17"/>
                <w:szCs w:val="17"/>
              </w:rPr>
              <w:t xml:space="preserve"> </w:t>
            </w:r>
            <w:r>
              <w:rPr>
                <w:rFonts w:ascii="微软雅黑" w:hAnsi="微软雅黑" w:eastAsia="微软雅黑" w:cs="微软雅黑"/>
                <w:color w:val="333333"/>
                <w:spacing w:val="14"/>
                <w:sz w:val="17"/>
                <w:szCs w:val="17"/>
              </w:rPr>
              <w:t>有</w:t>
            </w:r>
            <w:r>
              <w:rPr>
                <w:rFonts w:ascii="微软雅黑" w:hAnsi="微软雅黑" w:eastAsia="微软雅黑" w:cs="微软雅黑"/>
                <w:color w:val="333333"/>
                <w:spacing w:val="8"/>
                <w:sz w:val="17"/>
                <w:szCs w:val="17"/>
              </w:rPr>
              <w:t>非常重要的意义。</w:t>
            </w:r>
          </w:p>
        </w:tc>
        <w:tc>
          <w:tcPr>
            <w:tcW w:w="710" w:type="dxa"/>
            <w:vAlign w:val="top"/>
          </w:tcPr>
          <w:p>
            <w:pPr>
              <w:spacing w:before="83"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8" w:hRule="atLeast"/>
          <w:jc w:val="center"/>
        </w:trPr>
        <w:tc>
          <w:tcPr>
            <w:tcW w:w="1170" w:type="dxa"/>
            <w:vMerge w:val="continue"/>
            <w:tcBorders>
              <w:top w:val="nil"/>
              <w:bottom w:val="nil"/>
            </w:tcBorders>
            <w:vAlign w:val="top"/>
          </w:tcPr>
          <w:p>
            <w:pPr>
              <w:rPr>
                <w:rFonts w:ascii="Arial"/>
                <w:sz w:val="21"/>
              </w:rPr>
            </w:pPr>
          </w:p>
        </w:tc>
        <w:tc>
          <w:tcPr>
            <w:tcW w:w="1670" w:type="dxa"/>
            <w:vAlign w:val="top"/>
          </w:tcPr>
          <w:p>
            <w:pPr>
              <w:spacing w:before="78" w:line="230" w:lineRule="auto"/>
              <w:ind w:left="124"/>
              <w:rPr>
                <w:rFonts w:ascii="微软雅黑" w:hAnsi="微软雅黑" w:eastAsia="微软雅黑" w:cs="微软雅黑"/>
                <w:sz w:val="17"/>
                <w:szCs w:val="17"/>
              </w:rPr>
            </w:pPr>
            <w:r>
              <w:rPr>
                <w:rFonts w:ascii="微软雅黑" w:hAnsi="微软雅黑" w:eastAsia="微软雅黑" w:cs="微软雅黑"/>
                <w:color w:val="333333"/>
                <w:spacing w:val="5"/>
                <w:sz w:val="17"/>
                <w:szCs w:val="17"/>
              </w:rPr>
              <w:t xml:space="preserve">胃蛋白酶原 </w:t>
            </w:r>
            <w:r>
              <w:rPr>
                <w:rFonts w:ascii="微软雅黑" w:hAnsi="微软雅黑" w:eastAsia="微软雅黑" w:cs="微软雅黑"/>
                <w:color w:val="333333"/>
                <w:spacing w:val="4"/>
                <w:sz w:val="17"/>
                <w:szCs w:val="17"/>
              </w:rPr>
              <w:t>Ⅰ</w:t>
            </w:r>
          </w:p>
          <w:p>
            <w:pPr>
              <w:tabs>
                <w:tab w:val="left" w:pos="176"/>
              </w:tabs>
              <w:spacing w:line="221" w:lineRule="auto"/>
              <w:ind w:left="91"/>
              <w:rPr>
                <w:rFonts w:ascii="微软雅黑" w:hAnsi="微软雅黑" w:eastAsia="微软雅黑" w:cs="微软雅黑"/>
                <w:sz w:val="17"/>
                <w:szCs w:val="17"/>
              </w:rPr>
            </w:pPr>
            <w:r>
              <w:rPr>
                <w:rFonts w:ascii="微软雅黑" w:hAnsi="微软雅黑" w:eastAsia="微软雅黑" w:cs="微软雅黑"/>
                <w:color w:val="333333"/>
                <w:sz w:val="17"/>
                <w:szCs w:val="17"/>
              </w:rPr>
              <w:tab/>
            </w:r>
            <w:r>
              <w:rPr>
                <w:rFonts w:ascii="微软雅黑" w:hAnsi="微软雅黑" w:eastAsia="微软雅黑" w:cs="微软雅黑"/>
                <w:color w:val="333333"/>
                <w:spacing w:val="-3"/>
                <w:sz w:val="17"/>
                <w:szCs w:val="17"/>
              </w:rPr>
              <w:t>(</w:t>
            </w:r>
            <w:r>
              <w:rPr>
                <w:rFonts w:ascii="微软雅黑" w:hAnsi="微软雅黑" w:eastAsia="微软雅黑" w:cs="微软雅黑"/>
                <w:color w:val="333333"/>
                <w:spacing w:val="-2"/>
                <w:sz w:val="17"/>
                <w:szCs w:val="17"/>
              </w:rPr>
              <w:t xml:space="preserve"> PG Ⅰ )</w:t>
            </w:r>
          </w:p>
        </w:tc>
        <w:tc>
          <w:tcPr>
            <w:tcW w:w="5550" w:type="dxa"/>
            <w:vMerge w:val="continue"/>
            <w:tcBorders>
              <w:top w:val="nil"/>
              <w:bottom w:val="nil"/>
            </w:tcBorders>
            <w:vAlign w:val="top"/>
          </w:tcPr>
          <w:p>
            <w:pPr>
              <w:rPr>
                <w:rFonts w:ascii="Arial"/>
                <w:sz w:val="21"/>
              </w:rPr>
            </w:pPr>
          </w:p>
        </w:tc>
        <w:tc>
          <w:tcPr>
            <w:tcW w:w="710" w:type="dxa"/>
            <w:vAlign w:val="top"/>
          </w:tcPr>
          <w:p>
            <w:pPr>
              <w:spacing w:before="241"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3" w:hRule="atLeast"/>
          <w:jc w:val="center"/>
        </w:trPr>
        <w:tc>
          <w:tcPr>
            <w:tcW w:w="1170" w:type="dxa"/>
            <w:vMerge w:val="continue"/>
            <w:tcBorders>
              <w:top w:val="nil"/>
            </w:tcBorders>
            <w:vAlign w:val="top"/>
          </w:tcPr>
          <w:p>
            <w:pPr>
              <w:rPr>
                <w:rFonts w:ascii="Arial"/>
                <w:sz w:val="21"/>
              </w:rPr>
            </w:pPr>
          </w:p>
        </w:tc>
        <w:tc>
          <w:tcPr>
            <w:tcW w:w="1670" w:type="dxa"/>
            <w:vAlign w:val="top"/>
          </w:tcPr>
          <w:p>
            <w:pPr>
              <w:spacing w:before="79" w:line="230" w:lineRule="auto"/>
              <w:ind w:left="124"/>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胃</w:t>
            </w:r>
            <w:r>
              <w:rPr>
                <w:rFonts w:ascii="微软雅黑" w:hAnsi="微软雅黑" w:eastAsia="微软雅黑" w:cs="微软雅黑"/>
                <w:color w:val="333333"/>
                <w:spacing w:val="6"/>
                <w:sz w:val="17"/>
                <w:szCs w:val="17"/>
              </w:rPr>
              <w:t>蛋白酶原Ⅱ</w:t>
            </w:r>
          </w:p>
          <w:p>
            <w:pPr>
              <w:tabs>
                <w:tab w:val="left" w:pos="176"/>
              </w:tabs>
              <w:spacing w:line="225" w:lineRule="auto"/>
              <w:ind w:left="91"/>
              <w:rPr>
                <w:rFonts w:ascii="微软雅黑" w:hAnsi="微软雅黑" w:eastAsia="微软雅黑" w:cs="微软雅黑"/>
                <w:sz w:val="17"/>
                <w:szCs w:val="17"/>
              </w:rPr>
            </w:pPr>
            <w:r>
              <w:rPr>
                <w:rFonts w:ascii="微软雅黑" w:hAnsi="微软雅黑" w:eastAsia="微软雅黑" w:cs="微软雅黑"/>
                <w:color w:val="333333"/>
                <w:sz w:val="17"/>
                <w:szCs w:val="17"/>
              </w:rPr>
              <w:tab/>
            </w:r>
            <w:r>
              <w:rPr>
                <w:rFonts w:ascii="微软雅黑" w:hAnsi="微软雅黑" w:eastAsia="微软雅黑" w:cs="微软雅黑"/>
                <w:color w:val="333333"/>
                <w:spacing w:val="9"/>
                <w:sz w:val="17"/>
                <w:szCs w:val="17"/>
              </w:rPr>
              <w:t>(</w:t>
            </w:r>
            <w:r>
              <w:rPr>
                <w:rFonts w:ascii="微软雅黑" w:hAnsi="微软雅黑" w:eastAsia="微软雅黑" w:cs="微软雅黑"/>
                <w:color w:val="333333"/>
                <w:spacing w:val="6"/>
                <w:sz w:val="17"/>
                <w:szCs w:val="17"/>
              </w:rPr>
              <w:t xml:space="preserve"> </w:t>
            </w:r>
            <w:r>
              <w:rPr>
                <w:rFonts w:ascii="微软雅黑" w:hAnsi="微软雅黑" w:eastAsia="微软雅黑" w:cs="微软雅黑"/>
                <w:color w:val="333333"/>
                <w:sz w:val="17"/>
                <w:szCs w:val="17"/>
              </w:rPr>
              <w:t>PG</w:t>
            </w:r>
            <w:r>
              <w:rPr>
                <w:rFonts w:ascii="微软雅黑" w:hAnsi="微软雅黑" w:eastAsia="微软雅黑" w:cs="微软雅黑"/>
                <w:color w:val="333333"/>
                <w:spacing w:val="6"/>
                <w:sz w:val="17"/>
                <w:szCs w:val="17"/>
              </w:rPr>
              <w:t>Ⅱ )</w:t>
            </w:r>
          </w:p>
        </w:tc>
        <w:tc>
          <w:tcPr>
            <w:tcW w:w="5550" w:type="dxa"/>
            <w:vMerge w:val="continue"/>
            <w:tcBorders>
              <w:top w:val="nil"/>
            </w:tcBorders>
            <w:vAlign w:val="top"/>
          </w:tcPr>
          <w:p>
            <w:pPr>
              <w:rPr>
                <w:rFonts w:ascii="Arial"/>
                <w:sz w:val="21"/>
              </w:rPr>
            </w:pPr>
          </w:p>
        </w:tc>
        <w:tc>
          <w:tcPr>
            <w:tcW w:w="710" w:type="dxa"/>
            <w:vAlign w:val="top"/>
          </w:tcPr>
          <w:p>
            <w:pPr>
              <w:spacing w:before="241" w:line="187" w:lineRule="auto"/>
              <w:jc w:val="both"/>
              <w:rPr>
                <w:rFonts w:ascii="微软雅黑" w:hAnsi="微软雅黑" w:eastAsia="微软雅黑" w:cs="微软雅黑"/>
                <w:sz w:val="17"/>
                <w:szCs w:val="17"/>
              </w:rPr>
            </w:pPr>
            <w:r>
              <w:rPr>
                <w:rFonts w:ascii="微软雅黑" w:hAnsi="微软雅黑" w:eastAsia="微软雅黑" w:cs="微软雅黑"/>
                <w:color w:val="333333"/>
                <w:spacing w:val="9"/>
                <w:sz w:val="17"/>
                <w:szCs w:val="17"/>
              </w:rPr>
              <w:t>通</w:t>
            </w:r>
            <w:r>
              <w:rPr>
                <w:rFonts w:ascii="微软雅黑" w:hAnsi="微软雅黑" w:eastAsia="微软雅黑" w:cs="微软雅黑"/>
                <w:color w:val="333333"/>
                <w:spacing w:val="8"/>
                <w:sz w:val="17"/>
                <w:szCs w:val="17"/>
              </w:rPr>
              <w:t>用</w:t>
            </w:r>
          </w:p>
        </w:tc>
      </w:tr>
    </w:tbl>
    <w:p>
      <w:pPr>
        <w:bidi w:val="0"/>
        <w:rPr>
          <w:rFonts w:hint="eastAsia" w:ascii="微软雅黑" w:hAnsi="微软雅黑" w:eastAsia="微软雅黑" w:cs="微软雅黑"/>
          <w:b/>
          <w:bCs/>
          <w:sz w:val="30"/>
          <w:szCs w:val="30"/>
          <w:lang w:val="en-US" w:eastAsia="zh-CN"/>
        </w:rPr>
      </w:pPr>
    </w:p>
    <w:p>
      <w:pPr>
        <w:bidi w:val="0"/>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24"/>
          <w:szCs w:val="24"/>
          <w:lang w:val="en-US" w:eastAsia="zh-CN"/>
        </w:rPr>
        <w:t>套餐二、自选套餐，预约时请自行选择自选项目，超过需自付费</w:t>
      </w:r>
    </w:p>
    <w:tbl>
      <w:tblPr>
        <w:tblStyle w:val="9"/>
        <w:tblW w:w="9120" w:type="dxa"/>
        <w:jc w:val="center"/>
        <w:tblLayout w:type="fixed"/>
        <w:tblCellMar>
          <w:top w:w="0" w:type="dxa"/>
          <w:left w:w="108" w:type="dxa"/>
          <w:bottom w:w="0" w:type="dxa"/>
          <w:right w:w="108" w:type="dxa"/>
        </w:tblCellMar>
      </w:tblPr>
      <w:tblGrid>
        <w:gridCol w:w="1092"/>
        <w:gridCol w:w="1404"/>
        <w:gridCol w:w="5514"/>
        <w:gridCol w:w="1110"/>
      </w:tblGrid>
      <w:tr>
        <w:tblPrEx>
          <w:tblCellMar>
            <w:top w:w="0" w:type="dxa"/>
            <w:left w:w="108" w:type="dxa"/>
            <w:bottom w:w="0" w:type="dxa"/>
            <w:right w:w="108" w:type="dxa"/>
          </w:tblCellMar>
        </w:tblPrEx>
        <w:trPr>
          <w:trHeight w:val="28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hint="eastAsia" w:ascii="微软雅黑" w:hAnsi="微软雅黑" w:eastAsia="微软雅黑" w:cs="微软雅黑"/>
                <w:b/>
                <w:bCs/>
                <w:color w:val="FFFFFF"/>
                <w:kern w:val="0"/>
                <w:sz w:val="16"/>
                <w:szCs w:val="16"/>
                <w:lang w:bidi="ar"/>
              </w:rPr>
            </w:pPr>
            <w:r>
              <w:rPr>
                <w:rFonts w:hint="eastAsia" w:ascii="微软雅黑" w:hAnsi="微软雅黑" w:eastAsia="微软雅黑" w:cs="微软雅黑"/>
                <w:b/>
                <w:bCs/>
                <w:color w:val="FFFFFF"/>
                <w:kern w:val="0"/>
                <w:sz w:val="16"/>
                <w:szCs w:val="16"/>
                <w:lang w:bidi="ar"/>
              </w:rPr>
              <w:t>第一类</w:t>
            </w:r>
          </w:p>
        </w:tc>
        <w:tc>
          <w:tcPr>
            <w:tcW w:w="140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hint="eastAsia" w:ascii="微软雅黑" w:hAnsi="微软雅黑" w:eastAsia="微软雅黑" w:cs="微软雅黑"/>
                <w:b/>
                <w:bCs/>
                <w:color w:val="FFFFFF"/>
                <w:kern w:val="0"/>
                <w:sz w:val="16"/>
                <w:szCs w:val="16"/>
                <w:lang w:bidi="ar"/>
              </w:rPr>
            </w:pPr>
            <w:r>
              <w:rPr>
                <w:rFonts w:hint="eastAsia" w:ascii="微软雅黑" w:hAnsi="微软雅黑" w:eastAsia="微软雅黑" w:cs="微软雅黑"/>
                <w:b/>
                <w:bCs/>
                <w:color w:val="FFFFFF"/>
                <w:kern w:val="0"/>
                <w:sz w:val="16"/>
                <w:szCs w:val="16"/>
                <w:lang w:bidi="ar"/>
              </w:rPr>
              <w:t>临床检查项目</w:t>
            </w:r>
          </w:p>
        </w:tc>
        <w:tc>
          <w:tcPr>
            <w:tcW w:w="551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hint="eastAsia" w:ascii="微软雅黑" w:hAnsi="微软雅黑" w:eastAsia="微软雅黑" w:cs="微软雅黑"/>
                <w:b/>
                <w:bCs/>
                <w:color w:val="FFFFFF"/>
                <w:kern w:val="0"/>
                <w:sz w:val="16"/>
                <w:szCs w:val="16"/>
                <w:lang w:bidi="ar"/>
              </w:rPr>
            </w:pPr>
            <w:r>
              <w:rPr>
                <w:rFonts w:hint="eastAsia" w:ascii="微软雅黑" w:hAnsi="微软雅黑" w:eastAsia="微软雅黑" w:cs="微软雅黑"/>
                <w:b/>
                <w:bCs/>
                <w:color w:val="FFFFFF"/>
                <w:kern w:val="0"/>
                <w:sz w:val="16"/>
                <w:szCs w:val="16"/>
                <w:lang w:bidi="ar"/>
              </w:rPr>
              <w:t>临床意义</w:t>
            </w:r>
          </w:p>
        </w:tc>
        <w:tc>
          <w:tcPr>
            <w:tcW w:w="1110"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hint="eastAsia" w:ascii="微软雅黑" w:hAnsi="微软雅黑" w:eastAsia="微软雅黑" w:cs="微软雅黑"/>
                <w:b/>
                <w:bCs/>
                <w:color w:val="FFFFFF"/>
                <w:kern w:val="0"/>
                <w:sz w:val="16"/>
                <w:szCs w:val="16"/>
                <w:lang w:bidi="ar"/>
              </w:rPr>
            </w:pPr>
            <w:r>
              <w:rPr>
                <w:rFonts w:hint="eastAsia" w:ascii="微软雅黑" w:hAnsi="微软雅黑" w:eastAsia="微软雅黑" w:cs="微软雅黑"/>
                <w:b/>
                <w:bCs/>
                <w:color w:val="FFFFFF"/>
                <w:kern w:val="0"/>
                <w:sz w:val="16"/>
                <w:szCs w:val="16"/>
                <w:lang w:bidi="ar"/>
              </w:rPr>
              <w:t>适用性别</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一般检查</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一般检查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诊断高血压、超重、肥胖、消瘦，并且为相关科室的诊断提供重要的依据。</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内科</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内科检查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通过视、触、叩、听检查心、肺、肝、脾等重要脏器的基本状况,发现常见疾病的相关征兆，或初步排除常见疾病。</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外科</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外科检查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皮肤、淋巴结、甲状腺、乳房、前列腺、肛门、直肠有无异常;脊柱、四肢及关节有无畸形等。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耳鼻喉</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耳鼻喉检查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筛查耳鼻、口咽发育、功能有无异常，有无疾病，用于诊断中耳炎、鼻炎、扁桃体病变及肿瘤病变。</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1056"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眼科</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眼科检查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了解视力状况,检查眼睑、泪囊、结膜、眼球是否存在异常情况.通过眼底镜检查眼底视网膜、视神经乳头和视网膜中央血管等有无异常情况。通过裂隙灯检查巩膜、虹膜、角膜、瞳孔、玻璃体等有无异常情况。</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口腔科</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口腔科检查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主要检查有无牙周病、牙结石、龋齿、缺牙等口腔疾病及颊面部、口腔部和颞颌关节等疾病。</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40"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6"/>
                <w:szCs w:val="16"/>
              </w:rPr>
            </w:pPr>
            <w:r>
              <w:rPr>
                <w:rFonts w:hint="eastAsia" w:ascii="微软雅黑" w:hAnsi="微软雅黑" w:eastAsia="微软雅黑" w:cs="微软雅黑"/>
                <w:b/>
                <w:bCs/>
                <w:color w:val="FFFFFF"/>
                <w:kern w:val="0"/>
                <w:sz w:val="16"/>
                <w:szCs w:val="16"/>
                <w:lang w:bidi="ar"/>
              </w:rPr>
              <w:t>第二类</w:t>
            </w:r>
          </w:p>
        </w:tc>
        <w:tc>
          <w:tcPr>
            <w:tcW w:w="140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6"/>
                <w:szCs w:val="16"/>
              </w:rPr>
            </w:pPr>
            <w:r>
              <w:rPr>
                <w:rFonts w:hint="eastAsia" w:ascii="微软雅黑" w:hAnsi="微软雅黑" w:eastAsia="微软雅黑" w:cs="微软雅黑"/>
                <w:b/>
                <w:bCs/>
                <w:color w:val="FFFFFF"/>
                <w:kern w:val="0"/>
                <w:sz w:val="16"/>
                <w:szCs w:val="16"/>
                <w:lang w:bidi="ar"/>
              </w:rPr>
              <w:t>实验室检查项目</w:t>
            </w:r>
          </w:p>
        </w:tc>
        <w:tc>
          <w:tcPr>
            <w:tcW w:w="551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6"/>
                <w:szCs w:val="16"/>
              </w:rPr>
            </w:pPr>
            <w:r>
              <w:rPr>
                <w:rFonts w:hint="eastAsia" w:ascii="微软雅黑" w:hAnsi="微软雅黑" w:eastAsia="微软雅黑" w:cs="微软雅黑"/>
                <w:b/>
                <w:bCs/>
                <w:color w:val="FFFFFF"/>
                <w:kern w:val="0"/>
                <w:sz w:val="16"/>
                <w:szCs w:val="16"/>
                <w:lang w:bidi="ar"/>
              </w:rPr>
              <w:t>临床意义</w:t>
            </w:r>
          </w:p>
        </w:tc>
        <w:tc>
          <w:tcPr>
            <w:tcW w:w="1110" w:type="dxa"/>
            <w:tcBorders>
              <w:top w:val="single" w:color="000000" w:sz="4" w:space="0"/>
              <w:left w:val="single" w:color="000000" w:sz="4" w:space="0"/>
              <w:bottom w:val="single" w:color="000000" w:sz="4" w:space="0"/>
              <w:right w:val="single" w:color="000000" w:sz="4" w:space="0"/>
            </w:tcBorders>
            <w:shd w:val="clear" w:color="auto" w:fill="019EA7"/>
            <w:vAlign w:val="center"/>
          </w:tcPr>
          <w:p>
            <w:pPr>
              <w:jc w:val="center"/>
              <w:rPr>
                <w:rFonts w:ascii="微软雅黑" w:hAnsi="微软雅黑" w:eastAsia="微软雅黑" w:cs="微软雅黑"/>
                <w:b/>
                <w:bCs/>
                <w:color w:val="FFFFFF"/>
                <w:sz w:val="18"/>
                <w:szCs w:val="18"/>
              </w:rPr>
            </w:pPr>
          </w:p>
        </w:tc>
      </w:tr>
      <w:tr>
        <w:tblPrEx>
          <w:tblCellMar>
            <w:top w:w="0" w:type="dxa"/>
            <w:left w:w="108" w:type="dxa"/>
            <w:bottom w:w="0" w:type="dxa"/>
            <w:right w:w="108" w:type="dxa"/>
          </w:tblCellMar>
        </w:tblPrEx>
        <w:trPr>
          <w:trHeight w:val="542"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血常规</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血液常规(五分类)</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通过检测血液细胞的计数及不同种类细胞、成分的分类来反映身体状况，如：贫血、感染、血液系统疾病、物理化学因素损伤等。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54"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血糖检测</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空腹血糖（GLU）</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评价人体空腹状态下糖代谢是否正常，评估糖尿病患者空腹血糖控制是否达标。空腹血糖是诊断糖代谢紊乱的最常用和最重要指标。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肝胆功能</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血清丙氨酸氨基转移酶（ALT）</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可检测急、慢性病毒性肝炎、酒精性肝病、肝癌、肝硬化、脂肪肝等。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血清天冬氨酸氨基转移酶（AST）</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可检测急、慢性病毒性肝炎、酒精性肝病、肝癌、肝硬化、脂肪肝、心肌梗死等。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谷草比谷丙（AST/ALT）</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可检测急、慢性病毒性肝炎、酒精性肝病、肝癌、肝硬化、脂肪肝等。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血清碱性磷酸酶（ALP）</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用于检测肝胆系统疾病、黄疸的鉴别诊断、骨骼疾病等。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血清γ-谷氨酰基转移酶（GGT）</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可检测胆道阻塞性疾病、急慢性肝炎、肝硬化、酒精性肝炎、脂肪肝、胰腺炎、胰腺肿瘤等。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64"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肾脏功能</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肾功三项</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用于诊断肾功能异常，痛风，高尿酸血症等。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64"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血脂功能</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血脂四项</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用于动脉粥样硬化、高血压、冠心病等疾病诊断和疗效观察。</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动脉粥样硬化指数</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≥4异常。数值越大动脉硬化的程度越重，发生心脑血管的危险性越高。</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甲状腺功能</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甲状腺功能三项（A）</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判断甲状腺功能，甲亢、甲减、甲状腺肿瘤诊断与治疗监测。</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血粘度</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血粘度</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主要反映血液流动性、凝滞性和血液粘度的变化。适用于高血压、动脉硬化、脑中风、糖尿病及血脂异常等疾患的检查。</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90" w:hRule="atLeast"/>
          <w:jc w:val="center"/>
        </w:trPr>
        <w:tc>
          <w:tcPr>
            <w:tcW w:w="10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肿瘤标志物</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甲胎蛋白（AFP）</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16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癌胚抗原（CEA）</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8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CA153</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w:t>
            </w:r>
          </w:p>
        </w:tc>
      </w:tr>
      <w:tr>
        <w:tblPrEx>
          <w:tblCellMar>
            <w:top w:w="0" w:type="dxa"/>
            <w:left w:w="108" w:type="dxa"/>
            <w:bottom w:w="0" w:type="dxa"/>
            <w:right w:w="108" w:type="dxa"/>
          </w:tblCellMar>
        </w:tblPrEx>
        <w:trPr>
          <w:trHeight w:val="28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CA125</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w:t>
            </w:r>
          </w:p>
        </w:tc>
      </w:tr>
      <w:tr>
        <w:tblPrEx>
          <w:tblCellMar>
            <w:top w:w="0" w:type="dxa"/>
            <w:left w:w="108" w:type="dxa"/>
            <w:bottom w:w="0" w:type="dxa"/>
            <w:right w:w="108" w:type="dxa"/>
          </w:tblCellMar>
        </w:tblPrEx>
        <w:trPr>
          <w:trHeight w:val="28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CA19-9</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8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PSA</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男</w:t>
            </w:r>
          </w:p>
        </w:tc>
      </w:tr>
      <w:tr>
        <w:tblPrEx>
          <w:tblCellMar>
            <w:top w:w="0" w:type="dxa"/>
            <w:left w:w="108" w:type="dxa"/>
            <w:bottom w:w="0" w:type="dxa"/>
            <w:right w:w="108" w:type="dxa"/>
          </w:tblCellMar>
        </w:tblPrEx>
        <w:trPr>
          <w:trHeight w:val="528"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细胞角蛋白19 （cyfra21-1）</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鳞状上皮细胞癌相关抗原测定(SCC)</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是鳞状上皮癌的标志物，用于鳞癌的辅助诊断和疗效监督</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288"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妇科</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宫颈刮片</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是一种简单的初筛宫颈病变的方法。</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女已婚</w:t>
            </w:r>
          </w:p>
        </w:tc>
      </w:tr>
      <w:tr>
        <w:tblPrEx>
          <w:tblCellMar>
            <w:top w:w="0" w:type="dxa"/>
            <w:left w:w="108" w:type="dxa"/>
            <w:bottom w:w="0" w:type="dxa"/>
            <w:right w:w="108" w:type="dxa"/>
          </w:tblCellMar>
        </w:tblPrEx>
        <w:trPr>
          <w:trHeight w:val="506"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妇科内诊</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通过检查发现外阴皮肤有无异常；阴道有无出血、溃疡；宫颈有无充血和异常分泌物等；子宫有无异常；双侧附件有无肿块及压痛等。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女已婚</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白带常规</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了解阴道清洁度情况及妇科炎症，如：外阴阴道假丝酵母菌病、滴虫性阴道炎等均具有重要的意义。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女已婚</w:t>
            </w:r>
          </w:p>
        </w:tc>
      </w:tr>
      <w:tr>
        <w:tblPrEx>
          <w:tblCellMar>
            <w:top w:w="0" w:type="dxa"/>
            <w:left w:w="108" w:type="dxa"/>
            <w:bottom w:w="0" w:type="dxa"/>
            <w:right w:w="108" w:type="dxa"/>
          </w:tblCellMar>
        </w:tblPrEx>
        <w:trPr>
          <w:trHeight w:val="288"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8"/>
                <w:szCs w:val="18"/>
              </w:rPr>
            </w:pPr>
            <w:r>
              <w:rPr>
                <w:rFonts w:hint="eastAsia" w:ascii="微软雅黑" w:hAnsi="微软雅黑" w:eastAsia="微软雅黑" w:cs="微软雅黑"/>
                <w:b/>
                <w:bCs/>
                <w:color w:val="FFFFFF"/>
                <w:kern w:val="0"/>
                <w:sz w:val="18"/>
                <w:szCs w:val="18"/>
                <w:lang w:bidi="ar"/>
              </w:rPr>
              <w:t>第三类</w:t>
            </w:r>
          </w:p>
        </w:tc>
        <w:tc>
          <w:tcPr>
            <w:tcW w:w="140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8"/>
                <w:szCs w:val="18"/>
              </w:rPr>
            </w:pPr>
            <w:r>
              <w:rPr>
                <w:rFonts w:hint="eastAsia" w:ascii="微软雅黑" w:hAnsi="微软雅黑" w:eastAsia="微软雅黑" w:cs="微软雅黑"/>
                <w:b/>
                <w:bCs/>
                <w:color w:val="FFFFFF"/>
                <w:kern w:val="0"/>
                <w:sz w:val="18"/>
                <w:szCs w:val="18"/>
                <w:lang w:bidi="ar"/>
              </w:rPr>
              <w:t>器械检查项目</w:t>
            </w:r>
          </w:p>
        </w:tc>
        <w:tc>
          <w:tcPr>
            <w:tcW w:w="5514" w:type="dxa"/>
            <w:tcBorders>
              <w:top w:val="single" w:color="000000" w:sz="4" w:space="0"/>
              <w:left w:val="single" w:color="000000" w:sz="4" w:space="0"/>
              <w:bottom w:val="single" w:color="000000" w:sz="4" w:space="0"/>
              <w:right w:val="single" w:color="000000" w:sz="4" w:space="0"/>
            </w:tcBorders>
            <w:shd w:val="clear" w:color="auto" w:fill="019EA7"/>
            <w:vAlign w:val="center"/>
          </w:tcPr>
          <w:p>
            <w:pPr>
              <w:widowControl/>
              <w:jc w:val="center"/>
              <w:textAlignment w:val="center"/>
              <w:rPr>
                <w:rFonts w:ascii="微软雅黑" w:hAnsi="微软雅黑" w:eastAsia="微软雅黑" w:cs="微软雅黑"/>
                <w:b/>
                <w:bCs/>
                <w:color w:val="FFFFFF"/>
                <w:sz w:val="18"/>
                <w:szCs w:val="18"/>
              </w:rPr>
            </w:pPr>
            <w:r>
              <w:rPr>
                <w:rFonts w:hint="eastAsia" w:ascii="微软雅黑" w:hAnsi="微软雅黑" w:eastAsia="微软雅黑" w:cs="微软雅黑"/>
                <w:b/>
                <w:bCs/>
                <w:color w:val="FFFFFF"/>
                <w:kern w:val="0"/>
                <w:sz w:val="18"/>
                <w:szCs w:val="18"/>
                <w:lang w:bidi="ar"/>
              </w:rPr>
              <w:t>临床意义</w:t>
            </w:r>
          </w:p>
        </w:tc>
        <w:tc>
          <w:tcPr>
            <w:tcW w:w="1110" w:type="dxa"/>
            <w:tcBorders>
              <w:top w:val="single" w:color="000000" w:sz="4" w:space="0"/>
              <w:left w:val="single" w:color="000000" w:sz="4" w:space="0"/>
              <w:bottom w:val="single" w:color="000000" w:sz="4" w:space="0"/>
              <w:right w:val="single" w:color="000000" w:sz="4" w:space="0"/>
            </w:tcBorders>
            <w:shd w:val="clear" w:color="auto" w:fill="019EA7"/>
            <w:vAlign w:val="center"/>
          </w:tcPr>
          <w:p>
            <w:pPr>
              <w:jc w:val="center"/>
              <w:rPr>
                <w:rFonts w:ascii="微软雅黑" w:hAnsi="微软雅黑" w:eastAsia="微软雅黑" w:cs="微软雅黑"/>
                <w:b/>
                <w:bCs/>
                <w:color w:val="FFFFFF"/>
                <w:sz w:val="18"/>
                <w:szCs w:val="18"/>
              </w:rPr>
            </w:pPr>
          </w:p>
        </w:tc>
      </w:tr>
      <w:tr>
        <w:tblPrEx>
          <w:tblCellMar>
            <w:top w:w="0" w:type="dxa"/>
            <w:left w:w="108" w:type="dxa"/>
            <w:bottom w:w="0" w:type="dxa"/>
            <w:right w:w="108" w:type="dxa"/>
          </w:tblCellMar>
        </w:tblPrEx>
        <w:trPr>
          <w:trHeight w:val="1320"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肺部CT</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CT具有扫描速度快，覆盖面积大，采集信息量多等优点，在短时间内能够对全身各脏器进行检查，可以进行多平面的重建和重组对病变达到准确的定位、定性、定量的诊断；特别是对早期病变的发现及诊断，疾病治疗后的疗效判定，良恶性病变的鉴别等有着显著的临床意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心电图</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静态心电图检查（ECG）</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通过在体表特定部位同步记录和分析心脏每一个心动周期所产生电活动变化的曲线图形，为心脏疾病诊断、疗效评价、预后评估提供重要的依据。</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B超检查</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肝、胆、胰、脾超声检查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通过彩色超声仪器对人体肝脏、胆囊、脾脏、胰脏进行检测，发现是否有形态学改变及占位性病变（肿瘤，结石，炎症等，脾肿大、脾脓肿、脾肿瘤等）。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双肾超声检查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通过彩色超声仪器检测人体脏器双肾，依病灶周围血管情况、病灶内血流血供情况-良恶性病变鉴别；判断肾动脉狭窄、肿瘤、结石、积水等。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792"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甲状腺超声检查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通过彩色超声仪器更清晰地观察甲状腺肿物、结节、肿大、炎症；可发现甲状腺肿、甲状腺囊肿、甲状腺炎、甲状腺瘤、甲状腺癌等疾病。</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妇科超声检查（腹超）</w:t>
            </w:r>
          </w:p>
        </w:tc>
        <w:tc>
          <w:tcPr>
            <w:tcW w:w="5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通过彩色超声仪器清晰地观察子宫及附件（卵巢、输卵管）大小、形态结构及内部回声的情况，鉴别正常和异常，了解病变的性质，判别有无恶性病变。其优点就是检查前不用憋尿，且图像更清晰，检查更准确。</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女未婚</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妇科超声检查（阴超）</w:t>
            </w:r>
          </w:p>
        </w:tc>
        <w:tc>
          <w:tcPr>
            <w:tcW w:w="5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女已婚</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乳房超声检查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通过彩色超声仪器检查乳腺,发现乳腺增生、肿物、结节、囊肿、腺瘤、乳腺癌等病变。</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女</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前列腺超声检查</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通过彩色超声仪器检查更清晰地观察前列腺大小、形态、结构等情况，判断有无前列腺增大、囊肿、结石，恶性病变等。</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男</w:t>
            </w:r>
          </w:p>
        </w:tc>
      </w:tr>
      <w:tr>
        <w:tblPrEx>
          <w:tblCellMar>
            <w:top w:w="0" w:type="dxa"/>
            <w:left w:w="108" w:type="dxa"/>
            <w:bottom w:w="0" w:type="dxa"/>
            <w:right w:w="108" w:type="dxa"/>
          </w:tblCellMar>
        </w:tblPrEx>
        <w:trPr>
          <w:trHeight w:val="288" w:hRule="atLeast"/>
          <w:jc w:val="center"/>
        </w:trPr>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其他</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营养早餐</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早餐,提供身体活动需要的热量。</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通用</w:t>
            </w:r>
          </w:p>
        </w:tc>
      </w:tr>
      <w:tr>
        <w:tblPrEx>
          <w:tblCellMar>
            <w:top w:w="0" w:type="dxa"/>
            <w:left w:w="108" w:type="dxa"/>
            <w:bottom w:w="0" w:type="dxa"/>
            <w:right w:w="108" w:type="dxa"/>
          </w:tblCellMar>
        </w:tblPrEx>
        <w:trPr>
          <w:trHeight w:val="528" w:hRule="atLeast"/>
          <w:jc w:val="center"/>
        </w:trPr>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333333"/>
                <w:sz w:val="18"/>
                <w:szCs w:val="18"/>
              </w:rPr>
            </w:pPr>
            <w:r>
              <w:rPr>
                <w:rFonts w:hint="eastAsia" w:ascii="微软雅黑" w:hAnsi="微软雅黑" w:eastAsia="微软雅黑" w:cs="微软雅黑"/>
                <w:color w:val="333333"/>
                <w:kern w:val="0"/>
                <w:sz w:val="18"/>
                <w:szCs w:val="18"/>
                <w:lang w:bidi="ar"/>
              </w:rPr>
              <w:t>纸质报告-寄送个人</w:t>
            </w:r>
          </w:p>
        </w:tc>
        <w:tc>
          <w:tcPr>
            <w:tcW w:w="55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微软雅黑" w:hAnsi="微软雅黑" w:eastAsia="微软雅黑" w:cs="微软雅黑"/>
                <w:color w:val="333333"/>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333333"/>
                <w:sz w:val="18"/>
                <w:szCs w:val="18"/>
              </w:rPr>
            </w:pPr>
          </w:p>
        </w:tc>
      </w:tr>
    </w:tbl>
    <w:p>
      <w:pPr>
        <w:rPr>
          <w:rFonts w:ascii="微软雅黑" w:hAnsi="微软雅黑" w:eastAsia="微软雅黑" w:cs="微软雅黑"/>
          <w:b/>
          <w:sz w:val="30"/>
          <w:szCs w:val="30"/>
        </w:rPr>
      </w:pPr>
    </w:p>
    <w:p>
      <w:pPr>
        <w:rPr>
          <w:rFonts w:ascii="微软雅黑" w:hAnsi="微软雅黑" w:eastAsia="微软雅黑" w:cs="微软雅黑"/>
          <w:b/>
          <w:sz w:val="30"/>
          <w:szCs w:val="30"/>
        </w:rPr>
      </w:pPr>
      <w:r>
        <w:rPr>
          <w:rFonts w:hint="eastAsia" w:ascii="微软雅黑" w:hAnsi="微软雅黑" w:eastAsia="微软雅黑" w:cs="微软雅黑"/>
        </w:rPr>
        <w:t>附件：自选推荐表（表格</w:t>
      </w:r>
      <w:r>
        <w:rPr>
          <w:rFonts w:hint="eastAsia" w:ascii="微软雅黑" w:hAnsi="微软雅黑" w:eastAsia="微软雅黑" w:cs="微软雅黑"/>
          <w:lang w:val="en-US" w:eastAsia="zh-CN"/>
        </w:rPr>
        <w:t>中如有</w:t>
      </w:r>
      <w:r>
        <w:rPr>
          <w:rFonts w:hint="eastAsia" w:ascii="微软雅黑" w:hAnsi="微软雅黑" w:eastAsia="微软雅黑" w:cs="微软雅黑"/>
        </w:rPr>
        <w:t>不包含</w:t>
      </w:r>
      <w:r>
        <w:rPr>
          <w:rFonts w:hint="eastAsia" w:ascii="微软雅黑" w:hAnsi="微软雅黑" w:eastAsia="微软雅黑" w:cs="微软雅黑"/>
          <w:lang w:val="en-US" w:eastAsia="zh-CN"/>
        </w:rPr>
        <w:t>的</w:t>
      </w:r>
      <w:r>
        <w:rPr>
          <w:rFonts w:hint="eastAsia" w:ascii="微软雅黑" w:hAnsi="微软雅黑" w:eastAsia="微软雅黑" w:cs="微软雅黑"/>
        </w:rPr>
        <w:t>项目</w:t>
      </w:r>
      <w:r>
        <w:rPr>
          <w:rFonts w:hint="eastAsia" w:ascii="微软雅黑" w:hAnsi="微软雅黑" w:eastAsia="微软雅黑" w:cs="微软雅黑"/>
          <w:lang w:val="en-US" w:eastAsia="zh-CN"/>
        </w:rPr>
        <w:t>可</w:t>
      </w:r>
      <w:r>
        <w:rPr>
          <w:rFonts w:hint="eastAsia" w:ascii="微软雅黑" w:hAnsi="微软雅黑" w:eastAsia="微软雅黑" w:cs="微软雅黑"/>
        </w:rPr>
        <w:t>现场加项</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结算价以前台折扣为准</w:t>
      </w:r>
      <w:r>
        <w:rPr>
          <w:rFonts w:hint="eastAsia" w:ascii="微软雅黑" w:hAnsi="微软雅黑" w:eastAsia="微软雅黑" w:cs="微软雅黑"/>
        </w:rPr>
        <w:t>）</w:t>
      </w:r>
    </w:p>
    <w:tbl>
      <w:tblPr>
        <w:tblStyle w:val="9"/>
        <w:tblW w:w="9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4"/>
        <w:gridCol w:w="1545"/>
        <w:gridCol w:w="4780"/>
        <w:gridCol w:w="1075"/>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jc w:val="center"/>
        </w:trPr>
        <w:tc>
          <w:tcPr>
            <w:tcW w:w="9127" w:type="dxa"/>
            <w:gridSpan w:val="5"/>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b/>
                <w:bCs/>
                <w:i w:val="0"/>
                <w:iCs w:val="0"/>
                <w:color w:val="000000"/>
                <w:sz w:val="24"/>
                <w:szCs w:val="24"/>
                <w:u w:val="none"/>
                <w:lang w:val="en-US"/>
              </w:rPr>
            </w:pPr>
            <w:r>
              <w:rPr>
                <w:rStyle w:val="18"/>
                <w:lang w:val="en-US" w:eastAsia="zh-CN" w:bidi="ar"/>
              </w:rPr>
              <w:t>自选推荐表---此优惠价仅适用于选择</w:t>
            </w:r>
            <w:r>
              <w:rPr>
                <w:rStyle w:val="18"/>
                <w:rFonts w:hint="eastAsia"/>
                <w:lang w:val="en-US" w:eastAsia="zh-CN" w:bidi="ar"/>
              </w:rPr>
              <w:t>---自选套餐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序号</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自选项目</w:t>
            </w:r>
          </w:p>
        </w:tc>
        <w:tc>
          <w:tcPr>
            <w:tcW w:w="4780"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临床意义</w:t>
            </w:r>
          </w:p>
        </w:tc>
        <w:tc>
          <w:tcPr>
            <w:tcW w:w="107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备注</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眼底照相</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通过眼底照相可了解眼底情况如：视网膜、血管硬化变化情况等。</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糖尿病建议选</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眼压检查</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青光眼等眼压异常疾病筛查。</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3</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糖化血红蛋白（HbA1C）</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反映近2-3个月的平均血糖水平；用于筛检糖尿病、评价糖尿病血糖控制程度。</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4</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尿微量白蛋白与尿肌酐比值测定</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对早期筛查及诊断各种原因引起的早期肾损伤有重要的意义，适用于糖尿病肾病，高血压受检者，心血管和肾病高风险人群及健康人群肾病早期筛查。</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肾功早筛</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5</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血清胱抑素测定</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检验肾小球滤过率，是检测早期肾病的指标。</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6</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超敏C反应蛋白（hs-CRP）</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是判断组织损伤的敏感指标，也是心血管炎症病变的生物标志物。在冠心病、脑卒中、周围血管栓塞等疾病的诊断和预测中发挥重要的作用。</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心血管疾病建议选</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7</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同型半胱氨酸（HCY）</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与动脉粥样硬化性心脑血管疾病密切相关，是心脑血管疾病的独立风险因子。</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8</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脂联素</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脂联素是一种胰岛素增敏激素，能预示 II 型糖尿病和冠心病的发展，并在临床试验表现出抗糖尿病、抗动脉粥样和炎症的潜力。</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9</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心肌酶谱二项（CK,CK-MB）</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用于心肌梗塞、心肌炎、肌肉损伤等辅助诊断。</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10</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Style w:val="19"/>
                <w:lang w:val="en-US" w:eastAsia="zh-CN" w:bidi="ar"/>
              </w:rPr>
              <w:t xml:space="preserve">血清肌钙蛋白I测定（cTnI）  </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是心肌损伤的特异性指标，对诊断心肌梗死灵敏度高、特异性好。</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11</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颈动脉超声检查</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通过彩色超声仪器来检测有无动脉粥样硬化情况及颈动脉情况。</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12</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心脏超声检查</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通过彩色超声仪器能动态显示心腔内结构、心脏搏动和各瓣膜的血流情况，是诊断各种心脏病的重要手段之一。</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13</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经颅多普勒(TCD）</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判断有无硬化、狭窄、缺血、畸形、痉挛等血管病变。可对脑血管疾病进行动态监测。</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14</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胃功能检查一项（G-17）</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高G-17分泌在胃癌发展过程中起重要促进作用，结合PGⅠ、PGⅡ判断胃萎缩的部位和萎缩程度，以及胃癌的早期发现和预警有非常重要的意义。</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胃部筛查</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5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15</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胃功能检查两项（PGⅠ、PGⅡ、PGⅠ/ PGⅡ比值）</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PGⅠ，PGⅡ，PGⅠ/ PGⅡ比值测定，可用于胃癌、胃溃疡、萎缩性胃炎的初筛。</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16</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vertAlign w:val="superscript"/>
                <w:lang w:val="en-US" w:eastAsia="zh-CN" w:bidi="ar"/>
              </w:rPr>
              <w:t>13</w:t>
            </w:r>
            <w:r>
              <w:rPr>
                <w:rStyle w:val="19"/>
                <w:lang w:val="en-US" w:eastAsia="zh-CN" w:bidi="ar"/>
              </w:rPr>
              <w:t>C尿素呼气试验</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呼气试验阳性示有幽门螺杆菌感染，它与胃部炎症、消化性溃疡、胃癌的发生密切关联。该方法具有无痛、快速、准确的特点。</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17</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类风湿因子测定</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是诊断类风湿关节炎的重要血清学指标之一。也可见于某些感染性疾病，如结核、感染性心内膜炎等。</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类风湿</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18</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抗O测定</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提示有过溶血性链球菌感染。</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19</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混合过敏原检测</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食入性及吸入性过敏性疾病的辅助诊断。</w:t>
            </w:r>
          </w:p>
        </w:tc>
        <w:tc>
          <w:tcPr>
            <w:tcW w:w="107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过敏原</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20</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女性性激素6项</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评估女性内分泌功能，辅助诊断内分泌失调相关的疾病。</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性激素</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21</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男性性激素2项</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（血清泌乳素测定(PRL)、睾酮测定(TTE)）评估男性内分泌功能，辅助诊断内分泌失调相关的疾病。</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22</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头颅CT</w:t>
            </w:r>
          </w:p>
        </w:tc>
        <w:tc>
          <w:tcPr>
            <w:tcW w:w="4780" w:type="dxa"/>
            <w:vMerge w:val="restart"/>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CT具有扫描速度快，覆盖面积大，采集信息量多等优点特别是对早期病变的发现及诊断，疾病治疗后的疗效判定，良恶性病变的鉴别等有着显著的临床意义。</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CT</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23</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腰椎CT</w:t>
            </w:r>
          </w:p>
        </w:tc>
        <w:tc>
          <w:tcPr>
            <w:tcW w:w="4780" w:type="dxa"/>
            <w:vMerge w:val="continue"/>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24</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颈椎CT</w:t>
            </w:r>
          </w:p>
        </w:tc>
        <w:tc>
          <w:tcPr>
            <w:tcW w:w="4780" w:type="dxa"/>
            <w:vMerge w:val="continue"/>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25</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核磁（头颅、颈椎、腰椎）</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头颅MRI可直接显示颅神经，发现神经上的早期病变，头颅MRI检查无颅骨伪影，脑灰白质信号对比度高，使得头颅MRI检查明显优于CT。</w:t>
            </w:r>
          </w:p>
        </w:tc>
        <w:tc>
          <w:tcPr>
            <w:tcW w:w="1075" w:type="dxa"/>
            <w:vMerge w:val="restart"/>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静安机构</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26</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头颅及头颅动脉血管</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可以同时显示颅内神经和血管成像，提高颅脑疾病的检出率及诊断率。</w:t>
            </w:r>
          </w:p>
        </w:tc>
        <w:tc>
          <w:tcPr>
            <w:tcW w:w="1075" w:type="dxa"/>
            <w:vMerge w:val="continue"/>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44"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27</w:t>
            </w:r>
          </w:p>
        </w:tc>
        <w:tc>
          <w:tcPr>
            <w:tcW w:w="154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人乳头瘤病毒分析全套检测（共25型）</w:t>
            </w:r>
          </w:p>
        </w:tc>
        <w:tc>
          <w:tcPr>
            <w:tcW w:w="4780" w:type="dxa"/>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高危和低危人乳头瘤病毒感染诊断。</w:t>
            </w:r>
          </w:p>
        </w:tc>
        <w:tc>
          <w:tcPr>
            <w:tcW w:w="1075"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0000"/>
                <w:sz w:val="18"/>
                <w:szCs w:val="18"/>
                <w:u w:val="none"/>
              </w:rPr>
            </w:pPr>
            <w:r>
              <w:rPr>
                <w:rFonts w:hint="eastAsia" w:ascii="微软雅黑" w:hAnsi="微软雅黑" w:eastAsia="微软雅黑" w:cs="微软雅黑"/>
                <w:b/>
                <w:bCs/>
                <w:i w:val="0"/>
                <w:iCs w:val="0"/>
                <w:color w:val="FF0000"/>
                <w:kern w:val="0"/>
                <w:sz w:val="18"/>
                <w:szCs w:val="18"/>
                <w:u w:val="none"/>
                <w:lang w:val="en-US" w:eastAsia="zh-CN" w:bidi="ar"/>
              </w:rPr>
              <w:t>女已婚</w:t>
            </w:r>
          </w:p>
        </w:tc>
        <w:tc>
          <w:tcPr>
            <w:tcW w:w="1083" w:type="dxa"/>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112</w:t>
            </w:r>
          </w:p>
        </w:tc>
      </w:tr>
    </w:tbl>
    <w:p>
      <w:pPr>
        <w:ind w:left="420" w:leftChars="200"/>
        <w:rPr>
          <w:rFonts w:ascii="宋体" w:hAnsi="宋体" w:cs="宋体"/>
          <w:b/>
          <w:spacing w:val="15"/>
          <w:kern w:val="0"/>
        </w:rPr>
      </w:pPr>
    </w:p>
    <w:p>
      <w:pPr>
        <w:rPr>
          <w:rFonts w:ascii="宋体" w:hAnsi="宋体" w:cs="宋体"/>
          <w:b/>
          <w:spacing w:val="15"/>
          <w:kern w:val="0"/>
        </w:rPr>
      </w:pPr>
    </w:p>
    <w:p>
      <w:pPr>
        <w:pStyle w:val="2"/>
        <w:rPr>
          <w:rFonts w:ascii="宋体" w:hAnsi="宋体" w:cs="宋体"/>
          <w:b/>
          <w:spacing w:val="15"/>
          <w:kern w:val="0"/>
        </w:rPr>
      </w:pPr>
    </w:p>
    <w:p>
      <w:pPr>
        <w:pStyle w:val="2"/>
        <w:rPr>
          <w:rFonts w:ascii="宋体" w:hAnsi="宋体" w:cs="宋体"/>
          <w:b/>
          <w:spacing w:val="15"/>
          <w:kern w:val="0"/>
        </w:rPr>
      </w:pPr>
    </w:p>
    <w:p>
      <w:pPr>
        <w:pStyle w:val="2"/>
        <w:rPr>
          <w:rFonts w:ascii="宋体" w:hAnsi="宋体" w:cs="宋体"/>
          <w:b/>
          <w:spacing w:val="15"/>
          <w:kern w:val="0"/>
        </w:rPr>
      </w:pPr>
    </w:p>
    <w:p>
      <w:pPr>
        <w:pStyle w:val="2"/>
        <w:rPr>
          <w:rFonts w:ascii="宋体" w:hAnsi="宋体" w:cs="宋体"/>
          <w:b/>
          <w:spacing w:val="15"/>
          <w:kern w:val="0"/>
        </w:rPr>
      </w:pPr>
    </w:p>
    <w:p>
      <w:pPr>
        <w:bidi w:val="0"/>
        <w:rPr>
          <w:rFonts w:hint="default" w:ascii="微软雅黑" w:hAnsi="微软雅黑" w:eastAsia="微软雅黑" w:cs="微软雅黑"/>
          <w:b/>
          <w:bCs/>
          <w:sz w:val="30"/>
          <w:szCs w:val="30"/>
          <w:lang w:val="en-US" w:eastAsia="zh-CN"/>
        </w:rPr>
      </w:pPr>
      <w:r>
        <w:rPr>
          <w:rFonts w:hint="eastAsia" w:ascii="微软雅黑" w:hAnsi="微软雅黑" w:eastAsia="微软雅黑" w:cs="微软雅黑"/>
          <w:b/>
          <w:bCs/>
          <w:sz w:val="24"/>
          <w:szCs w:val="24"/>
          <w:lang w:val="en-US" w:eastAsia="zh-CN"/>
        </w:rPr>
        <w:t>套餐三、心血管套餐（适合三高人群）</w:t>
      </w:r>
    </w:p>
    <w:tbl>
      <w:tblPr>
        <w:tblStyle w:val="9"/>
        <w:tblW w:w="91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7"/>
        <w:gridCol w:w="1682"/>
        <w:gridCol w:w="4238"/>
        <w:gridCol w:w="640"/>
        <w:gridCol w:w="850"/>
        <w:gridCol w:w="7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916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2023年复旦大学（心血管套餐）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第一类</w:t>
            </w:r>
          </w:p>
        </w:tc>
        <w:tc>
          <w:tcPr>
            <w:tcW w:w="1682"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临床检查项目</w:t>
            </w:r>
          </w:p>
        </w:tc>
        <w:tc>
          <w:tcPr>
            <w:tcW w:w="4238"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5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76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一般检查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一般A：身高,体重,体重指数BMI,血压</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通过仪器测量人体身高、体重及血压，科学判断体重是否标准、血压是否正常，并且为相关科室的诊断提供重要的依据。</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外科检查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外科B：皮肤,浅表淋巴结,甲状腺,乳房,脊柱,四肢关节,肛门指诊,泌尿生殖系</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通过体格检查，检查皮肤,浅表淋巴结,甲状腺,乳房,脊柱,四肢关节,肛门指诊,泌尿生殖系（男）等脏器基本情况，发现常见外科疾病的相关征兆，或初步排除外科常见疾病。</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内科检查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内科A：营养,面容,心脏,肺部,腹部，肝脏，脾脏</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通过体格检查，检查心、肺、腹部等器官及部位的基本状况,发现常见疾病的相关征兆或初步排除常见疾病。</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眼科检查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眼科C：视力,外眼,眼底镜,裂隙灯检查</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了解视力状况,眼外观是否正常，通过眼底镜检查眼底视网膜、视神经、视乳头和视网膜中央血管等有无异常情况，通过裂隙灯检查巩膜、虹膜、角膜、瞳孔、玻璃体、晶体等有无异常情况。</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眼压检查</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青光眼等眼压异常疾病筛查。</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耳鼻喉检查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耳鼻、口咽</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通过对耳、鼻、咽、扁桃体的常规检查，初步筛查相关常见疾病。</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第二类</w:t>
            </w:r>
          </w:p>
        </w:tc>
        <w:tc>
          <w:tcPr>
            <w:tcW w:w="1682"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实验室检查项目</w:t>
            </w:r>
          </w:p>
        </w:tc>
        <w:tc>
          <w:tcPr>
            <w:tcW w:w="4238"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5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76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血常规</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22项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通过血液常规检测，检查白细胞、红细胞、血色素、血小板等指标来反映身体状况，如：贫血、感染、血液系统疾病、物理化学因素损伤等。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血糖检测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空腹血糖（GLU）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评价人体空腹状态下糖代谢是否正常，评估糖尿病受检者空腹血糖控制是否达标。空腹血糖是评估糖代谢紊乱的常用和重要指标。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糖化血红蛋白（HbA1C）</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反映近2-3个月的平均血糖水平；用于筛检糖尿病、评价糖尿病血糖控制程度。</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胰岛素检测（INS）</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用于糖尿病分型诊断、评估胰岛β细胞功能、低血糖及高胰岛素血症的诊断与鉴别诊断。</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C肽测定（C-P）</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用于糖尿病分型诊断、评估胰岛β细胞功能，其检测结果不受外源性胰岛素影响（如使用胰岛素的受检者）。</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肝胆功能</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肝功能十五项（TP,ALB,GLO,ALB/GLO,ALT,AST,AST/ALT,T-BIL,D-BIL,I-BIL,ALP,CHE,GGT,LDH,ADA）</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可较全面地了解肝脏功能状况。可提示肝胆系统疾病：急性传染性肝炎，中毒性肝炎，脂肪肝，胆管炎，胆囊炎，药物中毒性肝炎，酒精性肝炎和黄疸等。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肾脏功能</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血清尿素（UREA）,血清肌酐（CR）,</w:t>
            </w:r>
            <w:r>
              <w:rPr>
                <w:rFonts w:hint="eastAsia" w:ascii="微软雅黑" w:hAnsi="微软雅黑" w:eastAsia="微软雅黑" w:cs="微软雅黑"/>
                <w:i w:val="0"/>
                <w:iCs w:val="0"/>
                <w:color w:val="000000"/>
                <w:kern w:val="0"/>
                <w:sz w:val="18"/>
                <w:szCs w:val="18"/>
                <w:u w:val="none"/>
                <w:lang w:val="en-US" w:eastAsia="zh-CN" w:bidi="ar"/>
              </w:rPr>
              <w:br w:type="textWrapping"/>
            </w:r>
            <w:r>
              <w:rPr>
                <w:rFonts w:hint="eastAsia" w:ascii="微软雅黑" w:hAnsi="微软雅黑" w:eastAsia="微软雅黑" w:cs="微软雅黑"/>
                <w:i w:val="0"/>
                <w:iCs w:val="0"/>
                <w:color w:val="000000"/>
                <w:kern w:val="0"/>
                <w:sz w:val="18"/>
                <w:szCs w:val="18"/>
                <w:u w:val="none"/>
                <w:lang w:val="en-US" w:eastAsia="zh-CN" w:bidi="ar"/>
              </w:rPr>
              <w:t xml:space="preserve">血清尿酸（UA）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用于诊断肾功能异常，痛风，高尿酸血症等。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血清脂质和脂蛋白检测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血脂七项(TC,TG,HDL-C,LDL-C,APO-AI,APO-B,LP(a))与动脉硬化指数（AI）</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可以较全面地反映体内脂类代谢的情况。有助于评估心脑血管疾病风险。当AI≥4异常。数值越大动脉硬化的程度越重，发生心脑血管的危险性越高。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心血管检测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超敏C反应蛋白（hs-CRP）</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是判断组织损伤的敏感指标，也是心血管炎症病变的生物标志物。在冠心病、脑卒中、周围血管栓塞等疾病的诊断和预测中发挥重要的作用。</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同型半胱氨酸（HCY）</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与动脉粥样硬化性心脑血管疾病密切相关，是心脑血管疾病的独立风险因子。</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肿瘤指标</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甲胎蛋白（AFP，发光法）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对原发性肝癌的诊断、疗效观察和预后评估有重要的临床意义。在卵巢、胃、胰腺癌、睾丸癌等肿瘤及妊娠、胎儿畸形肝炎、肝硬化等疾病也有辅助诊断。</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癌胚抗原（CEA，发光法）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是广谱性肿瘤标志物，对大肠癌、胰腺癌的筛查、疗效观察和预后评估有重要的临床意义。在胃、乳腺、肺癌等也可升高。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糖类抗原199（CA199)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对胰腺癌、胆道肿瘤、胃肠癌等的筛查及疗效监测、评估预后有临床重要意义。急性胰腺炎、胆管炎、胆石症、急性肝炎、肝硬化等可升高。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乳腺癌肿瘤筛检（CA153）（女）</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主要用于乳腺癌的治疗检测和预后判断。子宫肿瘤、转移性卵巢癌、肺癌、胰腺癌、结肠癌、肺癌、支气管肺癌也可升高。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糖类抗原50(CA50)</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是一种广谱肿瘤标志物。动态监测对判断癌肿瘤疗效及预后判断、复发检测颇具价值，对鉴别良恶性胸、腹水也有价值。</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神经元特异性烯醇化酶（NSE)</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对小细胞肺癌、神经母细胞瘤的早期诊断及评估预后有临床重要意义。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前列腺特异性抗原(TPSA)（男）</w:t>
            </w:r>
          </w:p>
        </w:tc>
        <w:tc>
          <w:tcPr>
            <w:tcW w:w="4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前列腺炎、前列腺增生时，受检者t-PSA轻度升高。t-PSA与f-PSA同时升高，且f-PSA/t-PSA比值降低时，可提示有前列腺癌的可能。</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游离前列腺特异性抗原（F-PSA)(男）</w:t>
            </w:r>
          </w:p>
        </w:tc>
        <w:tc>
          <w:tcPr>
            <w:tcW w:w="4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f-PSA/t-PSA</w:t>
            </w:r>
          </w:p>
        </w:tc>
        <w:tc>
          <w:tcPr>
            <w:tcW w:w="4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糖类抗原125（CA125)（女）</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是卵巢上皮性肿瘤标志物，对宫颈癌及子宫内膜癌有辅助诊断价值。</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鳞状上皮细胞癌相关抗原测定(SCC)</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SCC可作为肺鳞癌、宫颈癌、食管癌等的诊断、病情监测及预后判断的辅助指标。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血粘度</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15项</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主要反映血液流动性、凝滞性和血液粘度的变化。适用于高血压、动脉硬化、脑中风、糖尿病及血脂异常等疾患的检查。</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心肌酶检测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心肌酶谱二项（CK,CK-MB）</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用于心肌梗塞、心肌炎、肌肉损伤等辅助诊断。</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心肌功能</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血清肌钙蛋白I测定（cTnI）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是心肌损伤的特异性指标，对诊断心肌梗死灵敏度高、特异性好。</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尿常规</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15项</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筛查泌尿系统疾病简单并且准确的方法。如泌尿系统感染、肿瘤、结石及了解肾功能，还可用于协助检查其他系统疾病，如糖尿病、肾炎等。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妇科内诊</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通过妇科体格检查，检查阴道、子宫、附件、盆腔等脏器基本情况，发现常见妇科疾病的相关征兆，或初步排除妇科常见疾病。</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白带常规3项</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了解阴道清洁度情况及妇科炎症，如：外阴阴道假丝酵母菌病、滴虫性阴道炎等均具有重要的意义。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子宫颈抹片检查（液基超薄细胞检测,TCT）</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筛查宫颈早期病变较先进的检测方法，同时还能发现部分微生物感染如假丝酵母菌、滴虫等。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人乳头瘤病毒（HPV16/18）定性</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16型和18型高危型人乳头瘤病毒感染的辅助诊断，发现宫颈癌的高危人群。</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第三类</w:t>
            </w:r>
          </w:p>
        </w:tc>
        <w:tc>
          <w:tcPr>
            <w:tcW w:w="1682"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器械检查项目</w:t>
            </w:r>
          </w:p>
        </w:tc>
        <w:tc>
          <w:tcPr>
            <w:tcW w:w="4238"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5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76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B超检查</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肝胆脾胰肾超声检查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通过彩色超声仪器对人体肝脏、胆囊、脾脏、胰脏、双肾进行检测,是否有无形态学改变及占位性病变（肿瘤，结石，炎症等）。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甲状腺超声检查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通过彩色超声仪器对人体甲状腺进行检测,是否有无形态学改变及占位性病变（肿大、结节、腺瘤及肿瘤等）。</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乳房超声检查（女）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通过彩色超声波仪器检测乳腺有无肿块及其他病变。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妇科腹部超声检查（女未婚）</w:t>
            </w:r>
          </w:p>
        </w:tc>
        <w:tc>
          <w:tcPr>
            <w:tcW w:w="4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通过彩色超声波仪器检测子宫及附件有无病变。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妇科阴道超声检查（女已婚）</w:t>
            </w:r>
          </w:p>
        </w:tc>
        <w:tc>
          <w:tcPr>
            <w:tcW w:w="4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男科前列腺超声波检查（男）        </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通过彩色超声波仪器检测前列腺有无肿块及其他病变。</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颈动脉超声检查</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通过彩色超声仪器来检测有无动脉粥样硬化情况及颈动脉情况。</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心电图</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静态心电图检查(ECG)</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通过在体表特定部位同步记录和分析心脏每一个心动周期所产生电活动变化的曲线图形，为心脏疾病诊断、疗效评价、预后评估提供重要的依据。</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CT</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肺部（低剂量）</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低剂量螺旋CT(简称LDCT)扫描方案是通过优化扫描参数，改变管电流、管电压和螺距等来降低辐射剂量，胸部扫描辐射剂量仅为常规CT的20％左右。低剂量螺旋CT对肺部筛查有助于发现早期肺癌，特别是周围型肺癌，其诊出率约为胸片的10倍。因其较少的辐射剂量，有效的降低了医源性辐射引起的恶性病变的风险。</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幽门螺杆菌检测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宋体" w:hAnsi="宋体" w:eastAsia="宋体" w:cs="宋体"/>
                <w:i w:val="0"/>
                <w:iCs w:val="0"/>
                <w:color w:val="000000"/>
                <w:kern w:val="0"/>
                <w:sz w:val="24"/>
                <w:szCs w:val="24"/>
                <w:u w:val="none"/>
                <w:vertAlign w:val="superscript"/>
                <w:lang w:val="en-US" w:eastAsia="zh-CN" w:bidi="ar"/>
              </w:rPr>
              <w:t>13</w:t>
            </w:r>
            <w:r>
              <w:rPr>
                <w:rFonts w:hint="eastAsia" w:ascii="微软雅黑" w:hAnsi="微软雅黑" w:eastAsia="微软雅黑" w:cs="微软雅黑"/>
                <w:i w:val="0"/>
                <w:iCs w:val="0"/>
                <w:color w:val="000000"/>
                <w:kern w:val="0"/>
                <w:sz w:val="18"/>
                <w:szCs w:val="18"/>
                <w:u w:val="none"/>
                <w:lang w:val="en-US" w:eastAsia="zh-CN" w:bidi="ar"/>
              </w:rPr>
              <w:t>C尿素呼气试验</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呼气试验阳性示有幽门螺杆菌感染，它与胃部炎症、消化性溃疡、胃癌的发生密切关联。该方法具有无痛、快速、准确的特点。</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VBP-9动脉硬化检测</w:t>
            </w:r>
          </w:p>
        </w:tc>
        <w:tc>
          <w:tcPr>
            <w:tcW w:w="1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动脉硬化</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为临床动脉硬化、动脉炎、血管闭塞和糖尿病足等提供可靠检查方法，也可辅助检查周身血管中的血栓情况。</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第四类</w:t>
            </w:r>
          </w:p>
        </w:tc>
        <w:tc>
          <w:tcPr>
            <w:tcW w:w="1682"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特别检查与服务</w:t>
            </w:r>
          </w:p>
        </w:tc>
        <w:tc>
          <w:tcPr>
            <w:tcW w:w="4238"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5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76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健康餐</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VIP健康早餐</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体检报告</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纸质报告</w:t>
            </w:r>
          </w:p>
        </w:tc>
        <w:tc>
          <w:tcPr>
            <w:tcW w:w="4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6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网络电子报告查询</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6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网络电子报告终身保存</w:t>
            </w:r>
          </w:p>
        </w:tc>
        <w:tc>
          <w:tcPr>
            <w:tcW w:w="42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6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可疑癌症及时提醒</w:t>
            </w:r>
          </w:p>
        </w:tc>
        <w:tc>
          <w:tcPr>
            <w:tcW w:w="4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bl>
    <w:p/>
    <w:p/>
    <w:p>
      <w:pPr>
        <w:bidi w:val="0"/>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套餐四、综合套餐</w:t>
      </w:r>
    </w:p>
    <w:tbl>
      <w:tblPr>
        <w:tblStyle w:val="9"/>
        <w:tblW w:w="91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0"/>
        <w:gridCol w:w="1741"/>
        <w:gridCol w:w="4140"/>
        <w:gridCol w:w="630"/>
        <w:gridCol w:w="863"/>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919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2023年复旦大学（综合套餐）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第一类</w:t>
            </w:r>
          </w:p>
        </w:tc>
        <w:tc>
          <w:tcPr>
            <w:tcW w:w="1741"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临床检查项目</w:t>
            </w:r>
          </w:p>
        </w:tc>
        <w:tc>
          <w:tcPr>
            <w:tcW w:w="41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3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63"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8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一般检查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一般A：身高,体重,体重指数BMI,血压</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通过仪器测量人体身高、体重及血压，科学判断体重是否标准、血压是否正常，并且为相关科室的诊断提供重要的依据。</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外科检查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外科B：皮肤,浅表淋巴结,甲状腺,乳房,脊柱,四肢关节,肛门指诊,泌尿生殖系</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通过体格检查，检查皮肤,浅表淋巴结,甲状腺,乳房,脊柱,四肢关节,肛门指诊,泌尿生殖系（男）等脏器基本情况，发现常见外科疾病的相关征兆，或初步排除外科常见疾病。</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内科检查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内科A：营养,面容,心脏,肺部,腹部，肝脏，脾脏</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通过体格检查，检查心、肺、腹部等器官及部位的基本状况,发现常见疾病的相关征兆或初步排除常见疾病。</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眼科检查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眼科C：视力,外眼,眼底镜,裂隙灯检查</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了解视力状况,眼外观是否正常，通过眼底镜检查眼底视网膜、视神经、视乳头和视网膜中央血管等有无异常情况，通过裂隙灯检查巩膜、虹膜、角膜、瞳孔、玻璃体、晶体等有无异常情况。</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耳鼻喉检查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耳鼻、口咽</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通过对耳、鼻、咽、扁桃体的常规检查，初步筛查相关常见疾病。</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第二类</w:t>
            </w:r>
          </w:p>
        </w:tc>
        <w:tc>
          <w:tcPr>
            <w:tcW w:w="1741"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实验室检查项目</w:t>
            </w:r>
          </w:p>
        </w:tc>
        <w:tc>
          <w:tcPr>
            <w:tcW w:w="41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3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63"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8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血常规</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22项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通过血液常规检测，检查白细胞、红细胞、血色素、血小板等指标来反映身体状况，如：贫血、感染、血液系统疾病、物理化学因素损伤等。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血糖检测</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空腹血糖（GLU）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评价人体空腹状态下糖代谢是否正常，评估糖尿病受检者空腹血糖控制是否达标。空腹血糖是评估糖代谢紊乱的常用和重要指标。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糖化血红蛋白（HbA1C）</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反映近2-3个月的平均血糖水平；用于筛检糖尿病、评价糖尿病血糖控制程度。</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肝胆功能</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肝功能十五项（TP,ALB,GLO,ALB/GLO,ALT,AST,AST/ALT,T-BIL,D-BIL,I-BIL,ALP,CHE,GGT,LDH,ADA）</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可较全面地了解肝脏功能状况。可提示肝胆系统疾病：急性传染性肝炎，中毒性肝炎，脂肪肝，胆管炎，胆囊炎，药物中毒性肝炎，酒精性肝炎和黄疸等。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肾脏功能</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血清尿素（UREA）,血清肌酐（CR）,</w:t>
            </w:r>
            <w:r>
              <w:rPr>
                <w:rFonts w:hint="eastAsia" w:ascii="微软雅黑" w:hAnsi="微软雅黑" w:eastAsia="微软雅黑" w:cs="微软雅黑"/>
                <w:i w:val="0"/>
                <w:iCs w:val="0"/>
                <w:color w:val="000000"/>
                <w:kern w:val="0"/>
                <w:sz w:val="18"/>
                <w:szCs w:val="18"/>
                <w:u w:val="none"/>
                <w:lang w:val="en-US" w:eastAsia="zh-CN" w:bidi="ar"/>
              </w:rPr>
              <w:br w:type="textWrapping"/>
            </w:r>
            <w:r>
              <w:rPr>
                <w:rFonts w:hint="eastAsia" w:ascii="微软雅黑" w:hAnsi="微软雅黑" w:eastAsia="微软雅黑" w:cs="微软雅黑"/>
                <w:i w:val="0"/>
                <w:iCs w:val="0"/>
                <w:color w:val="000000"/>
                <w:kern w:val="0"/>
                <w:sz w:val="18"/>
                <w:szCs w:val="18"/>
                <w:u w:val="none"/>
                <w:lang w:val="en-US" w:eastAsia="zh-CN" w:bidi="ar"/>
              </w:rPr>
              <w:t xml:space="preserve">血清尿酸（UA）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用于诊断肾功能异常，痛风，高尿酸血症等。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血清胱抑素测定</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检验肾小球滤过率，是检测早期肾病的指标。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101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血清脂质和脂蛋白检测</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血脂七项(TC,TG,HDL-C,LDL-C,APO-AI,APO-B,LP(a))与动脉硬化指数（AI）</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可以较全面地反映体内脂类代谢的情况。有助于评估心脑血管疾病风险。当AI≥4异常。数值越大动脉硬化的程度越重，发生心脑血管的危险性越高。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心血管检测</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同型半胱氨酸（HCY）</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与动脉粥样硬化性心脑血管疾病密切相关，是心脑血管疾病的独立风险因子。</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肿瘤指标</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甲胎蛋白（AFP，发光法）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对原发性肝癌的诊断、疗效观察和预后评估有重要的临床意义。在卵巢、胃、胰腺癌、睾丸癌等肿瘤及妊娠、胎儿畸形肝炎、肝硬化等疾病也有辅助诊断。</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癌胚抗原（CEA，发光法）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是广谱性肿瘤标志物，对大肠癌、胰腺癌的筛查、疗效观察和预后评估有重要的临床意义。在胃、乳腺、肺癌等也可升高。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糖类抗原199（CA199)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对胰腺癌、胆道肿瘤、胃肠癌等的筛查及疗效监测、评估预后有临床重要意义。急性胰腺炎、胆管炎、胆石症、急性肝炎、肝硬化等可升高。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乳腺癌肿瘤筛检（CA153）（女）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主要用于乳腺癌的治疗检测和预后判断。子宫肿瘤、转移性卵巢癌、肺癌、胰腺癌、结肠癌、肺癌、支气管肺癌也可升高。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糖类抗原50(CA50)</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是一种广谱肿瘤标志物。动态监测对判断癌肿瘤疗效及预后判断、复发检测颇具价值，对鉴别良恶性胸、腹水也有价值。</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神经元特异性烯醇化酶（NSE)</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对小细胞肺癌、神经母细胞瘤的早期诊断及评估预后有临床重要意义。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血清铁蛋白测定(SF)</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检查体内铁缺乏或者铁负荷过量的指标，在临床上常用于缺铁性贫血的诊断，铁蛋白增高可见于炎症、肿瘤、白血病、甲状腺功能亢进等。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糖类抗原724（CA724）</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是一种肿瘤相关糖蛋白，用于辅助诊断胃肠道和卵巢肿瘤的标志物；与CA125联合检测，可提高卵巢癌的检查率；与CEA联合检测，可以提高判断胃癌的敏感性和特异性。</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细胞角蛋白19片段测定（CYFRA21-1）</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对非小细胞肺癌的早期诊断、疗效监测和预后判断均有重要意义。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胰腺、胆道肿瘤标记物(CA242)</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辅助诊断胰腺癌和直结肠癌的肿瘤标志物。</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前列腺特异性抗原(TPSA)（男）</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前列腺炎、前列腺增生时，受检者t-PSA轻度升高。t-PSA与f-PSA同时升高，且f-PSA/t-PSA比值降低时，可提示有前列腺癌的可能。</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游离前列腺特异性抗原（F-PSA)(男）</w:t>
            </w: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f-PSA/t-PSA</w:t>
            </w: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人绒膜促性腺激素β亚单位（β-HCG）</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糖类抗原125（CA125)（女）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是卵巢上皮性肿瘤标志物，对宫颈癌及子宫内膜癌有辅助诊断价值。</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鳞状上皮细胞癌相关抗原测定(SCC)</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SCC可作为肺鳞癌、宫颈癌、食管癌等的诊断、病情监测及预后判断的辅助指标。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胃部筛查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胃蛋白酶原Ⅰ（PGⅠ）</w:t>
            </w:r>
          </w:p>
        </w:tc>
        <w:tc>
          <w:tcPr>
            <w:tcW w:w="41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PGⅠ，PGⅡ，PGⅠ/ PGⅡ比值测定，可用于胃癌、胃溃疡、萎缩性胃炎的初筛。</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92D050"/>
            <w:vAlign w:val="center"/>
          </w:tcPr>
          <w:p>
            <w:pPr>
              <w:jc w:val="center"/>
              <w:rPr>
                <w:rFonts w:hint="eastAsia" w:ascii="微软雅黑" w:hAnsi="微软雅黑" w:eastAsia="微软雅黑" w:cs="微软雅黑"/>
                <w:i w:val="0"/>
                <w:iCs w:val="0"/>
                <w:color w:val="333333"/>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333333"/>
                <w:sz w:val="18"/>
                <w:szCs w:val="18"/>
                <w:u w:val="none"/>
              </w:rPr>
            </w:pPr>
            <w:r>
              <w:rPr>
                <w:rFonts w:hint="eastAsia" w:ascii="微软雅黑" w:hAnsi="微软雅黑" w:eastAsia="微软雅黑" w:cs="微软雅黑"/>
                <w:i w:val="0"/>
                <w:iCs w:val="0"/>
                <w:color w:val="333333"/>
                <w:kern w:val="0"/>
                <w:sz w:val="18"/>
                <w:szCs w:val="18"/>
                <w:u w:val="none"/>
                <w:lang w:val="en-US" w:eastAsia="zh-CN" w:bidi="ar"/>
              </w:rPr>
              <w:t>胃蛋白酶原Ⅱ（PGⅡ）</w:t>
            </w:r>
          </w:p>
        </w:tc>
        <w:tc>
          <w:tcPr>
            <w:tcW w:w="4140" w:type="dxa"/>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333333"/>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甲状腺功能</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甲状腺功能五项（TSH,T3,T4,FT3,FT4）</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用于诊断甲亢、甲减，并作为甲状腺肿瘤术后治疗监测，对诊断甲亢较甲功三项更为灵敏。</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尿常规</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15项</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筛查泌尿系统疾病简单并且准确的方法。如泌尿系统感染、肿瘤、结石及了解肾功能，还可用于协助检查其他系统疾病，如糖尿病、肾炎等。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免疫测定</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类风湿因子测定（RF）</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是诊断类风湿关节炎的重要血清学指标之一。也可见于某些感染性疾病，如结核、感染性心内膜炎等。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抗链球菌溶血素O测定</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提示有过溶血性链球菌感染。</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补体两项测定（C3、C4）</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升高多见于急性炎症，降低见于自身免疫性疾病，如系统性红斑狼疮、类风湿关节炎、大多数肾小球肾炎。</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免疫球蛋白三项（IgG,IgA,IgM）</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反映机体体液免疫功能状态，有助于感染性疾病、免疫增生性疾病和免疫缺陷病等的鉴别诊断、疾病监控和预后。</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妇科内诊</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通过妇科体格检查，检查阴道、子宫、附件、盆腔等脏器基本情况，发现常见妇科疾病的相关征兆，或初步排除妇科常见疾病。</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白带常规3项</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了解阴道清洁度情况及妇科炎症，如：外阴阴道假丝酵母菌病、滴虫性阴道炎等均具有重要的意义。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子宫颈抹片检查（液基超薄细胞检测,TCT）</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筛查宫颈早期病变较先进的检测方法，同时还能发现部分微生物感染如假丝酵母菌、滴虫等。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人乳头瘤病毒分析全套检测（共25型）</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高危和低危人乳头瘤病毒感染诊断。</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第三类</w:t>
            </w:r>
          </w:p>
        </w:tc>
        <w:tc>
          <w:tcPr>
            <w:tcW w:w="1741"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器械检查项目</w:t>
            </w:r>
          </w:p>
        </w:tc>
        <w:tc>
          <w:tcPr>
            <w:tcW w:w="41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3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63"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8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B超检查</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肝胆脾胰肾超声检查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通过彩色超声仪器对人体肝脏、胆囊、脾脏、胰脏、双肾进行检测,是否有无形态学改变及占位性病变（肿瘤，结石，炎症等）。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甲状腺超声检查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通过彩色超声仪器对人体甲状腺进行检测,是否有无形态学改变及占位性病变（肿大、结节、腺瘤及肿瘤等）。</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101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乳房超声检查（女）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通过彩色超声波仪器检测乳腺有无肿块及其他病变。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妇科腹部超声检查（女未婚）</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通过彩色超声波仪器检测子宫及附件有无病变。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妇科阴道超声检查（女已婚）</w:t>
            </w: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18"/>
                <w:szCs w:val="18"/>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 xml:space="preserve">男科前列腺超声波检查（男）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通过彩色超声波仪器检测前列腺有无肿块及其他病变。</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心电图</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静态心电图检查(ECG)</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通过在体表特定部位同步记录和分析心脏每一个心动周期所产生电活动变化的曲线图形，为心脏疾病诊断、疗效评价、预后评估提供重要的依据。</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CT</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肺部（低剂量）</w:t>
            </w:r>
          </w:p>
        </w:tc>
        <w:tc>
          <w:tcPr>
            <w:tcW w:w="4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Style w:val="23"/>
                <w:lang w:val="en-US" w:eastAsia="zh-CN" w:bidi="ar"/>
              </w:rPr>
              <w:t>低剂量螺旋CT(简称LDCT)扫描方案是通过优化扫描参数，改变管电流、管电压和螺距等来降低辐射剂量，</w:t>
            </w:r>
            <w:r>
              <w:rPr>
                <w:rStyle w:val="24"/>
                <w:lang w:val="en-US" w:eastAsia="zh-CN" w:bidi="ar"/>
              </w:rPr>
              <w:t>胸部扫描辐射剂量仅为常规CT的20％左右。</w:t>
            </w:r>
            <w:r>
              <w:rPr>
                <w:rStyle w:val="23"/>
                <w:lang w:val="en-US" w:eastAsia="zh-CN" w:bidi="ar"/>
              </w:rPr>
              <w:t>低剂量螺旋CT对肺部筛查有助于发现早期肺癌，特别是周围型肺癌，其诊出率约为胸片的10倍。因其较少的辐射剂量，有效的降低了医源性辐射引起的恶性病变的风险。</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0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幽门螺杆菌检测</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Style w:val="25"/>
                <w:rFonts w:ascii="宋体" w:hAnsi="宋体" w:eastAsia="宋体" w:cs="宋体"/>
                <w:sz w:val="24"/>
                <w:szCs w:val="24"/>
                <w:lang w:val="en-US" w:eastAsia="zh-CN" w:bidi="ar"/>
              </w:rPr>
              <w:t>13</w:t>
            </w:r>
            <w:r>
              <w:rPr>
                <w:rStyle w:val="24"/>
                <w:lang w:val="en-US" w:eastAsia="zh-CN" w:bidi="ar"/>
              </w:rPr>
              <w:t>C尿素呼气试验</w:t>
            </w:r>
          </w:p>
        </w:tc>
        <w:tc>
          <w:tcPr>
            <w:tcW w:w="4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呼气试验阳性示有幽门螺杆菌感染，它与胃部炎症、消化性溃疡、胃癌的发生密切关联。该方法具有无痛、快速、准确的特点。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第四类</w:t>
            </w:r>
          </w:p>
        </w:tc>
        <w:tc>
          <w:tcPr>
            <w:tcW w:w="1741"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特别检查与服务</w:t>
            </w:r>
          </w:p>
        </w:tc>
        <w:tc>
          <w:tcPr>
            <w:tcW w:w="414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临床意义</w:t>
            </w:r>
          </w:p>
        </w:tc>
        <w:tc>
          <w:tcPr>
            <w:tcW w:w="63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男</w:t>
            </w:r>
          </w:p>
        </w:tc>
        <w:tc>
          <w:tcPr>
            <w:tcW w:w="863"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女未婚</w:t>
            </w:r>
          </w:p>
        </w:tc>
        <w:tc>
          <w:tcPr>
            <w:tcW w:w="810" w:type="dxa"/>
            <w:tcBorders>
              <w:top w:val="single" w:color="000000" w:sz="4" w:space="0"/>
              <w:left w:val="single" w:color="000000" w:sz="4" w:space="0"/>
              <w:bottom w:val="single" w:color="000000" w:sz="4" w:space="0"/>
              <w:right w:val="single" w:color="000000" w:sz="4" w:space="0"/>
            </w:tcBorders>
            <w:shd w:val="clear" w:color="auto" w:fill="009999"/>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FFFFFF"/>
                <w:sz w:val="18"/>
                <w:szCs w:val="18"/>
                <w:u w:val="none"/>
              </w:rPr>
            </w:pPr>
            <w:r>
              <w:rPr>
                <w:rFonts w:hint="eastAsia" w:ascii="微软雅黑" w:hAnsi="微软雅黑" w:eastAsia="微软雅黑" w:cs="微软雅黑"/>
                <w:b/>
                <w:bCs/>
                <w:i w:val="0"/>
                <w:iCs w:val="0"/>
                <w:color w:val="FFFFFF"/>
                <w:kern w:val="0"/>
                <w:sz w:val="18"/>
                <w:szCs w:val="18"/>
                <w:u w:val="none"/>
                <w:lang w:val="en-US" w:eastAsia="zh-CN" w:bidi="ar"/>
              </w:rPr>
              <w:t>女已婚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健康餐</w:t>
            </w: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VIP健康早餐</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体检报告</w:t>
            </w:r>
          </w:p>
        </w:tc>
        <w:tc>
          <w:tcPr>
            <w:tcW w:w="1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纸质报告</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7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网络电子报告查询</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7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网络电子报告终身保存</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jc w:val="center"/>
        </w:trPr>
        <w:tc>
          <w:tcPr>
            <w:tcW w:w="27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可疑癌症及时提醒</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微软雅黑" w:hAnsi="微软雅黑" w:eastAsia="微软雅黑" w:cs="微软雅黑"/>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r>
    </w:tbl>
    <w:p>
      <w:pPr>
        <w:widowControl w:val="0"/>
        <w:numPr>
          <w:ilvl w:val="0"/>
          <w:numId w:val="0"/>
        </w:numPr>
        <w:jc w:val="both"/>
        <w:rPr>
          <w:rFonts w:hint="default" w:ascii="微软雅黑" w:hAnsi="微软雅黑" w:eastAsia="微软雅黑" w:cs="微软雅黑"/>
          <w:b w:val="0"/>
          <w:bCs/>
          <w:sz w:val="24"/>
          <w:szCs w:val="24"/>
          <w:lang w:val="en-US" w:eastAsia="zh-CN"/>
        </w:rPr>
        <w:sectPr>
          <w:headerReference r:id="rId3" w:type="default"/>
          <w:pgSz w:w="11906" w:h="16839"/>
          <w:pgMar w:top="1431" w:right="1724" w:bottom="1134" w:left="1373" w:header="0" w:footer="0" w:gutter="0"/>
          <w:cols w:space="720" w:num="1"/>
        </w:sectPr>
      </w:pPr>
    </w:p>
    <w:p>
      <w:pPr>
        <w:bidi w:val="0"/>
        <w:ind w:left="0" w:leftChars="0" w:firstLine="0" w:firstLineChars="0"/>
        <w:jc w:val="center"/>
        <w:rPr>
          <w:b/>
          <w:bCs/>
          <w:sz w:val="21"/>
          <w:szCs w:val="21"/>
          <w:u w:val="single"/>
        </w:rPr>
      </w:pPr>
      <w:r>
        <w:rPr>
          <w:rFonts w:hint="default"/>
          <w:b/>
          <w:bCs/>
          <w:sz w:val="30"/>
          <w:szCs w:val="30"/>
          <w:lang w:eastAsia="zh-CN"/>
        </w:rPr>
        <w:t>体检须知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sz w:val="21"/>
          <w:szCs w:val="21"/>
          <w:u w:val="single"/>
        </w:rPr>
      </w:pPr>
      <w:r>
        <w:rPr>
          <w:b/>
          <w:bCs/>
          <w:sz w:val="21"/>
          <w:szCs w:val="21"/>
          <w:u w:val="single"/>
        </w:rPr>
        <w:t>检</w:t>
      </w:r>
      <w:r>
        <w:rPr>
          <w:rFonts w:hint="eastAsia"/>
          <w:b/>
          <w:bCs/>
          <w:sz w:val="21"/>
          <w:szCs w:val="21"/>
          <w:u w:val="single"/>
        </w:rPr>
        <w:t>前</w:t>
      </w:r>
      <w:r>
        <w:rPr>
          <w:b/>
          <w:bCs/>
          <w:sz w:val="21"/>
          <w:szCs w:val="21"/>
          <w:u w:val="single"/>
        </w:rPr>
        <w:t>须知</w:t>
      </w:r>
      <w:r>
        <w:rPr>
          <w:rFonts w:hint="eastAsia"/>
          <w:b/>
          <w:bCs/>
          <w:sz w:val="21"/>
          <w:szCs w:val="21"/>
          <w:u w:val="singl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sz w:val="21"/>
          <w:szCs w:val="21"/>
        </w:rPr>
      </w:pPr>
      <w:r>
        <w:rPr>
          <w:sz w:val="21"/>
          <w:szCs w:val="21"/>
        </w:rPr>
        <w:t>体检前</w:t>
      </w:r>
      <w:r>
        <w:rPr>
          <w:rFonts w:hint="eastAsia"/>
          <w:sz w:val="21"/>
          <w:szCs w:val="21"/>
        </w:rPr>
        <w:t>三</w:t>
      </w:r>
      <w:r>
        <w:rPr>
          <w:sz w:val="21"/>
          <w:szCs w:val="21"/>
        </w:rPr>
        <w:t>日，应清淡饮食，忌高脂高蛋白、高糖、高盐饮食，忌酒，保持正常作息，避免疲劳；</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sz w:val="21"/>
          <w:szCs w:val="21"/>
        </w:rPr>
      </w:pPr>
      <w:r>
        <w:rPr>
          <w:rFonts w:hint="eastAsia"/>
          <w:sz w:val="21"/>
          <w:szCs w:val="21"/>
        </w:rPr>
        <w:t>抽血前需禁食至少8小时,</w:t>
      </w:r>
      <w:r>
        <w:rPr>
          <w:sz w:val="21"/>
          <w:szCs w:val="21"/>
        </w:rPr>
        <w:t xml:space="preserve"> </w:t>
      </w:r>
      <w:r>
        <w:rPr>
          <w:rFonts w:hint="eastAsia"/>
          <w:sz w:val="21"/>
          <w:szCs w:val="21"/>
        </w:rPr>
        <w:t>体检前一天晚餐后尽量不再进食,晚餐时间不宜超过晚上8点,以免影响空腹血糖等指标的检测,可以少量饮水;</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sz w:val="21"/>
          <w:szCs w:val="21"/>
        </w:rPr>
      </w:pPr>
      <w:r>
        <w:rPr>
          <w:sz w:val="21"/>
          <w:szCs w:val="21"/>
        </w:rPr>
        <w:t>体检当日清晨，请空腹（禁食水），以便进行抽血及上腹B超检查；如进行下腹</w:t>
      </w:r>
      <w:r>
        <w:rPr>
          <w:rFonts w:hint="eastAsia"/>
          <w:sz w:val="21"/>
          <w:szCs w:val="21"/>
        </w:rPr>
        <w:t>盆腔</w:t>
      </w:r>
      <w:r>
        <w:rPr>
          <w:sz w:val="21"/>
          <w:szCs w:val="21"/>
        </w:rPr>
        <w:t>B超</w:t>
      </w:r>
      <w:r>
        <w:rPr>
          <w:rFonts w:hint="eastAsia"/>
          <w:sz w:val="21"/>
          <w:szCs w:val="21"/>
        </w:rPr>
        <w:t>(子宫附件,前列腺)</w:t>
      </w:r>
      <w:r>
        <w:rPr>
          <w:sz w:val="21"/>
          <w:szCs w:val="21"/>
        </w:rPr>
        <w:t xml:space="preserve">检查，检查前需饮水3～5杯，使膀胱充盈；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sz w:val="21"/>
          <w:szCs w:val="21"/>
        </w:rPr>
      </w:pPr>
      <w:r>
        <w:rPr>
          <w:sz w:val="21"/>
          <w:szCs w:val="21"/>
        </w:rPr>
        <w:t>体检化验</w:t>
      </w:r>
      <w:r>
        <w:rPr>
          <w:rFonts w:hint="eastAsia"/>
          <w:sz w:val="21"/>
          <w:szCs w:val="21"/>
        </w:rPr>
        <w:t>请尽早，</w:t>
      </w:r>
      <w:r>
        <w:rPr>
          <w:sz w:val="21"/>
          <w:szCs w:val="21"/>
        </w:rPr>
        <w:t>太晚会因为体内生理性内分泌激素的影响，使血糖值失真（虽仍为空腹）。所以</w:t>
      </w:r>
      <w:r>
        <w:rPr>
          <w:rFonts w:hint="eastAsia"/>
          <w:sz w:val="21"/>
          <w:szCs w:val="21"/>
        </w:rPr>
        <w:t>建议</w:t>
      </w:r>
      <w:r>
        <w:rPr>
          <w:sz w:val="21"/>
          <w:szCs w:val="21"/>
        </w:rPr>
        <w:t>尽早采血，</w:t>
      </w:r>
      <w:r>
        <w:rPr>
          <w:rFonts w:hint="eastAsia"/>
          <w:sz w:val="21"/>
          <w:szCs w:val="21"/>
        </w:rPr>
        <w:t>尽可能</w:t>
      </w:r>
      <w:r>
        <w:rPr>
          <w:sz w:val="21"/>
          <w:szCs w:val="21"/>
        </w:rPr>
        <w:t>不要误时；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sz w:val="21"/>
          <w:szCs w:val="21"/>
        </w:rPr>
      </w:pPr>
      <w:r>
        <w:rPr>
          <w:sz w:val="21"/>
          <w:szCs w:val="21"/>
        </w:rPr>
        <w:t xml:space="preserve">糖尿病、高血压、心脏病、哮喘等慢性疾病患者，请将平时服用的药物携带备用， 受检日建议不要停药；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sz w:val="21"/>
          <w:szCs w:val="21"/>
        </w:rPr>
      </w:pPr>
      <w:r>
        <w:rPr>
          <w:rFonts w:hint="eastAsia"/>
          <w:bCs/>
          <w:sz w:val="21"/>
          <w:szCs w:val="21"/>
        </w:rPr>
        <w:t>参加X线检查，请勿穿着带有金属饰物或配件的衣物，</w:t>
      </w:r>
      <w:r>
        <w:rPr>
          <w:rFonts w:hint="eastAsia"/>
          <w:b/>
          <w:bCs/>
          <w:color w:val="31849B"/>
          <w:sz w:val="21"/>
          <w:szCs w:val="21"/>
          <w:u w:val="single"/>
        </w:rPr>
        <w:t>请勿佩戴项链、耳环、挂件等；</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sz w:val="21"/>
          <w:szCs w:val="21"/>
        </w:rPr>
      </w:pPr>
      <w:r>
        <w:rPr>
          <w:rFonts w:hint="eastAsia"/>
          <w:b/>
          <w:bCs/>
          <w:color w:val="31849B"/>
          <w:sz w:val="21"/>
          <w:szCs w:val="21"/>
          <w:u w:val="single"/>
        </w:rPr>
        <w:t>为了安全，80岁以上或行动不便或有特殊疾病的（如眩晕症、心脏病等）体检人员，必须请家属全程陪同完成体检，如无家属陪同，在体检过程中发生意外责任自负。</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sz w:val="21"/>
          <w:szCs w:val="21"/>
        </w:rPr>
      </w:pPr>
      <w:r>
        <w:rPr>
          <w:sz w:val="21"/>
          <w:szCs w:val="21"/>
        </w:rPr>
        <w:t xml:space="preserve">女士应注意： </w:t>
      </w:r>
      <w:r>
        <w:rPr>
          <w:sz w:val="21"/>
          <w:szCs w:val="21"/>
        </w:rPr>
        <w:br w:type="textWrapping"/>
      </w:r>
      <w:r>
        <w:rPr>
          <w:sz w:val="21"/>
          <w:szCs w:val="21"/>
        </w:rPr>
        <w:t>在体检当日不化浓妆，</w:t>
      </w:r>
      <w:r>
        <w:rPr>
          <w:rFonts w:hint="eastAsia"/>
          <w:sz w:val="21"/>
          <w:szCs w:val="21"/>
        </w:rPr>
        <w:t>不穿连裤袜，不穿连体衣，</w:t>
      </w:r>
      <w:r>
        <w:rPr>
          <w:sz w:val="21"/>
          <w:szCs w:val="21"/>
        </w:rPr>
        <w:t>不佩戴首饰，以免影响检查；</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sz w:val="21"/>
          <w:szCs w:val="21"/>
        </w:rPr>
      </w:pPr>
      <w:r>
        <w:rPr>
          <w:sz w:val="21"/>
          <w:szCs w:val="21"/>
        </w:rPr>
        <w:t>怀孕或可能已受怀孕者，请预先告知医护人员，勿做Χ光及</w:t>
      </w:r>
      <w:r>
        <w:rPr>
          <w:rFonts w:hint="eastAsia"/>
          <w:sz w:val="21"/>
          <w:szCs w:val="21"/>
        </w:rPr>
        <w:t>妇科</w:t>
      </w:r>
      <w:r>
        <w:rPr>
          <w:sz w:val="21"/>
          <w:szCs w:val="21"/>
        </w:rPr>
        <w:t>宫颈涂片检查；</w:t>
      </w:r>
      <w:r>
        <w:rPr>
          <w:sz w:val="21"/>
          <w:szCs w:val="21"/>
        </w:rPr>
        <w:br w:type="textWrapping"/>
      </w:r>
      <w:r>
        <w:rPr>
          <w:sz w:val="21"/>
          <w:szCs w:val="21"/>
        </w:rPr>
        <w:t xml:space="preserve">妇科检查或腔内妇科B超检查仅限于已婚或有性生活者； </w:t>
      </w:r>
      <w:r>
        <w:rPr>
          <w:sz w:val="21"/>
          <w:szCs w:val="21"/>
        </w:rPr>
        <w:br w:type="textWrapping"/>
      </w:r>
      <w:r>
        <w:rPr>
          <w:sz w:val="21"/>
          <w:szCs w:val="21"/>
        </w:rPr>
        <w:t>月经期间不宜做妇科检查和尿检，待经期结束</w:t>
      </w:r>
      <w:r>
        <w:rPr>
          <w:rFonts w:hint="eastAsia"/>
          <w:sz w:val="21"/>
          <w:szCs w:val="21"/>
        </w:rPr>
        <w:t>三天</w:t>
      </w:r>
      <w:r>
        <w:rPr>
          <w:sz w:val="21"/>
          <w:szCs w:val="21"/>
        </w:rPr>
        <w:t>后</w:t>
      </w:r>
      <w:r>
        <w:rPr>
          <w:rFonts w:hint="eastAsia"/>
          <w:sz w:val="21"/>
          <w:szCs w:val="21"/>
        </w:rPr>
        <w:t>尽快来</w:t>
      </w:r>
      <w:r>
        <w:rPr>
          <w:sz w:val="21"/>
          <w:szCs w:val="21"/>
        </w:rPr>
        <w:t>补检。</w:t>
      </w:r>
    </w:p>
    <w:p>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1"/>
          <w:szCs w:val="21"/>
          <w:u w:val="singl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u w:val="single"/>
        </w:rPr>
      </w:pPr>
      <w:r>
        <w:rPr>
          <w:b/>
          <w:bCs/>
          <w:sz w:val="21"/>
          <w:szCs w:val="21"/>
          <w:u w:val="single"/>
        </w:rPr>
        <w:t>检中须知：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抽血后请按压针孔部位5分钟，以压迫止血,请不要按揉针孔复位，以免造成皮下血肿;</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sz w:val="21"/>
          <w:szCs w:val="21"/>
        </w:rPr>
      </w:pPr>
      <w:r>
        <w:rPr>
          <w:rFonts w:hint="eastAsia"/>
          <w:sz w:val="21"/>
          <w:szCs w:val="21"/>
        </w:rPr>
        <w:t>若在抽血时,曾发生过晕血、低血糖等不适反应，请告知护士;</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sz w:val="21"/>
          <w:szCs w:val="21"/>
        </w:rPr>
      </w:pPr>
      <w:r>
        <w:rPr>
          <w:sz w:val="21"/>
          <w:szCs w:val="21"/>
        </w:rPr>
        <w:t xml:space="preserve">病史陈述要完整，不要忽略重要病史；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sz w:val="21"/>
          <w:szCs w:val="21"/>
        </w:rPr>
      </w:pPr>
      <w:r>
        <w:rPr>
          <w:sz w:val="21"/>
          <w:szCs w:val="21"/>
        </w:rPr>
        <w:t>体检中的项目是按照医学规范合理设定的，有些检查对疾病的早期发现有特殊意义，请按预先设定的内容和流程去各科室检查，不要</w:t>
      </w:r>
      <w:r>
        <w:rPr>
          <w:rFonts w:hint="eastAsia"/>
          <w:sz w:val="21"/>
          <w:szCs w:val="21"/>
        </w:rPr>
        <w:t>轻易</w:t>
      </w:r>
      <w:r>
        <w:rPr>
          <w:sz w:val="21"/>
          <w:szCs w:val="21"/>
        </w:rPr>
        <w:t>放弃</w:t>
      </w:r>
      <w:r>
        <w:rPr>
          <w:rFonts w:hint="eastAsia"/>
          <w:sz w:val="21"/>
          <w:szCs w:val="21"/>
        </w:rPr>
        <w:t>项目</w:t>
      </w:r>
      <w:r>
        <w:rPr>
          <w:sz w:val="21"/>
          <w:szCs w:val="21"/>
        </w:rPr>
        <w:t xml:space="preserve">检查。 </w:t>
      </w:r>
    </w:p>
    <w:p>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1"/>
          <w:szCs w:val="21"/>
          <w:u w:val="singl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1"/>
          <w:szCs w:val="21"/>
          <w:u w:val="single"/>
        </w:rPr>
      </w:pPr>
      <w:r>
        <w:rPr>
          <w:b/>
          <w:bCs/>
          <w:sz w:val="21"/>
          <w:szCs w:val="21"/>
          <w:u w:val="single"/>
        </w:rPr>
        <w:t>检后须知：</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体检报告请认真阅读，对相关疑问请向瑞慈专家咨询，并认真对待医生的建议；</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sz w:val="21"/>
          <w:szCs w:val="21"/>
        </w:rPr>
      </w:pPr>
      <w:r>
        <w:rPr>
          <w:sz w:val="21"/>
          <w:szCs w:val="21"/>
        </w:rPr>
        <w:t>请您妥善保存体检报告，作为您下一次体检及就医时具有临床指导意义的资料。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体检报告：出电子报告（若需要纸质报告可在前台登记时留下地址，可免费寄送报告）</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eastAsia="宋体"/>
          <w:b/>
          <w:color w:val="FF0000"/>
          <w:sz w:val="21"/>
          <w:szCs w:val="21"/>
          <w:lang w:val="en-US" w:eastAsia="zh-CN"/>
        </w:rPr>
      </w:pPr>
      <w:r>
        <w:rPr>
          <w:rFonts w:hint="eastAsia"/>
          <w:b/>
          <w:color w:val="FF0000"/>
          <w:sz w:val="21"/>
          <w:szCs w:val="21"/>
        </w:rPr>
        <w:t>体检结束后如需打印CT片，请提前三个工作日（双休日及国定假日除外）与体检机构</w:t>
      </w:r>
      <w:r>
        <w:rPr>
          <w:rFonts w:hint="eastAsia"/>
          <w:b/>
          <w:color w:val="FF0000"/>
          <w:sz w:val="21"/>
          <w:szCs w:val="21"/>
          <w:lang w:eastAsia="zh-CN"/>
        </w:rPr>
        <w:t>客服人员</w:t>
      </w:r>
      <w:r>
        <w:rPr>
          <w:rFonts w:hint="eastAsia"/>
          <w:b/>
          <w:color w:val="FF0000"/>
          <w:sz w:val="21"/>
          <w:szCs w:val="21"/>
        </w:rPr>
        <w:t>或</w:t>
      </w:r>
      <w:r>
        <w:rPr>
          <w:rFonts w:hint="eastAsia"/>
          <w:b/>
          <w:color w:val="FF0000"/>
          <w:sz w:val="21"/>
          <w:szCs w:val="21"/>
          <w:lang w:eastAsia="zh-CN"/>
        </w:rPr>
        <w:t>紧急联系人</w:t>
      </w:r>
      <w:r>
        <w:rPr>
          <w:rFonts w:hint="eastAsia"/>
          <w:b/>
          <w:color w:val="FF0000"/>
          <w:sz w:val="21"/>
          <w:szCs w:val="21"/>
        </w:rPr>
        <w:t>联系申请，费用需现场支付，</w:t>
      </w:r>
      <w:r>
        <w:rPr>
          <w:rFonts w:hint="eastAsia"/>
          <w:b/>
          <w:color w:val="FF0000"/>
          <w:sz w:val="21"/>
          <w:szCs w:val="21"/>
          <w:lang w:eastAsia="zh-CN"/>
        </w:rPr>
        <w:t>一经申请不得退款，</w:t>
      </w:r>
      <w:r>
        <w:rPr>
          <w:rFonts w:hint="eastAsia"/>
          <w:b/>
          <w:color w:val="FF0000"/>
          <w:sz w:val="21"/>
          <w:szCs w:val="21"/>
        </w:rPr>
        <w:t>建议片子自取以防损坏或遗失。</w:t>
      </w:r>
      <w:r>
        <w:rPr>
          <w:rFonts w:hint="eastAsia"/>
          <w:b/>
          <w:color w:val="FF0000"/>
          <w:sz w:val="21"/>
          <w:szCs w:val="21"/>
          <w:lang w:val="en-US" w:eastAsia="zh-CN"/>
        </w:rPr>
        <w:t>CT片费用：胶片50元</w:t>
      </w:r>
    </w:p>
    <w:p>
      <w:pPr>
        <w:widowControl/>
        <w:tabs>
          <w:tab w:val="left" w:pos="1260"/>
        </w:tabs>
        <w:spacing w:line="360" w:lineRule="exact"/>
        <w:ind w:left="-840" w:leftChars="-400" w:right="-840" w:rightChars="-400"/>
        <w:jc w:val="left"/>
        <w:rPr>
          <w:rFonts w:ascii="微软雅黑" w:hAnsi="微软雅黑" w:eastAsia="微软雅黑" w:cs="微软雅黑"/>
          <w:b/>
          <w:sz w:val="30"/>
          <w:szCs w:val="30"/>
        </w:rPr>
      </w:pPr>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drawing>
        <wp:anchor distT="0" distB="0" distL="114300" distR="114300" simplePos="0" relativeHeight="251669504" behindDoc="0" locked="0" layoutInCell="1" allowOverlap="1">
          <wp:simplePos x="0" y="0"/>
          <wp:positionH relativeFrom="column">
            <wp:posOffset>3604260</wp:posOffset>
          </wp:positionH>
          <wp:positionV relativeFrom="paragraph">
            <wp:posOffset>303530</wp:posOffset>
          </wp:positionV>
          <wp:extent cx="2100580" cy="376555"/>
          <wp:effectExtent l="0" t="0" r="7620" b="4445"/>
          <wp:wrapNone/>
          <wp:docPr id="87" name="图片 87" descr="微信截图_20210702145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微信截图_20210702145601"/>
                  <pic:cNvPicPr>
                    <a:picLocks noChangeAspect="1"/>
                  </pic:cNvPicPr>
                </pic:nvPicPr>
                <pic:blipFill>
                  <a:blip r:embed="rId1"/>
                  <a:stretch>
                    <a:fillRect/>
                  </a:stretch>
                </pic:blipFill>
                <pic:spPr>
                  <a:xfrm>
                    <a:off x="0" y="0"/>
                    <a:ext cx="2100580" cy="376555"/>
                  </a:xfrm>
                  <a:prstGeom prst="rect">
                    <a:avLst/>
                  </a:prstGeom>
                </pic:spPr>
              </pic:pic>
            </a:graphicData>
          </a:graphic>
        </wp:anchor>
      </w:drawing>
    </w:r>
    <w:r>
      <w:rPr>
        <w:rFonts w:hint="eastAsia"/>
      </w:rPr>
      <w:drawing>
        <wp:anchor distT="0" distB="0" distL="114300" distR="114300" simplePos="0" relativeHeight="251668480" behindDoc="0" locked="0" layoutInCell="1" allowOverlap="1">
          <wp:simplePos x="0" y="0"/>
          <wp:positionH relativeFrom="column">
            <wp:posOffset>118745</wp:posOffset>
          </wp:positionH>
          <wp:positionV relativeFrom="paragraph">
            <wp:posOffset>417830</wp:posOffset>
          </wp:positionV>
          <wp:extent cx="898525" cy="215265"/>
          <wp:effectExtent l="0" t="0" r="3175" b="635"/>
          <wp:wrapNone/>
          <wp:docPr id="4155" name="图片 4155" descr="C:\Users\刘杰\Desktop\瑞慈体检内容库\01-品牌信息\01-品宣介绍\02-logo矢量图\瑞慈体检logo矢量图\瑞慈体检logo矢量图-瑞慈绿01.png瑞慈体检logo矢量图-瑞慈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5" name="图片 4155" descr="C:\Users\刘杰\Desktop\瑞慈体检内容库\01-品牌信息\01-品宣介绍\02-logo矢量图\瑞慈体检logo矢量图\瑞慈体检logo矢量图-瑞慈绿01.png瑞慈体检logo矢量图-瑞慈绿01"/>
                  <pic:cNvPicPr>
                    <a:picLocks noChangeAspect="1" noChangeArrowheads="1"/>
                  </pic:cNvPicPr>
                </pic:nvPicPr>
                <pic:blipFill>
                  <a:blip r:embed="rId2"/>
                  <a:srcRect/>
                  <a:stretch>
                    <a:fillRect/>
                  </a:stretch>
                </pic:blipFill>
                <pic:spPr>
                  <a:xfrm>
                    <a:off x="0" y="0"/>
                    <a:ext cx="898525" cy="21526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drawing>
        <wp:anchor distT="0" distB="0" distL="114300" distR="114300" simplePos="0" relativeHeight="251671552" behindDoc="0" locked="0" layoutInCell="1" allowOverlap="1">
          <wp:simplePos x="0" y="0"/>
          <wp:positionH relativeFrom="column">
            <wp:posOffset>3529965</wp:posOffset>
          </wp:positionH>
          <wp:positionV relativeFrom="paragraph">
            <wp:posOffset>-141605</wp:posOffset>
          </wp:positionV>
          <wp:extent cx="2100580" cy="376555"/>
          <wp:effectExtent l="0" t="0" r="7620" b="4445"/>
          <wp:wrapNone/>
          <wp:docPr id="2" name="图片 2" descr="微信截图_20210702145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210702145601"/>
                  <pic:cNvPicPr>
                    <a:picLocks noChangeAspect="1"/>
                  </pic:cNvPicPr>
                </pic:nvPicPr>
                <pic:blipFill>
                  <a:blip r:embed="rId1"/>
                  <a:stretch>
                    <a:fillRect/>
                  </a:stretch>
                </pic:blipFill>
                <pic:spPr>
                  <a:xfrm>
                    <a:off x="0" y="0"/>
                    <a:ext cx="2100580" cy="376555"/>
                  </a:xfrm>
                  <a:prstGeom prst="rect">
                    <a:avLst/>
                  </a:prstGeom>
                </pic:spPr>
              </pic:pic>
            </a:graphicData>
          </a:graphic>
        </wp:anchor>
      </w:drawing>
    </w:r>
    <w:r>
      <w:rPr>
        <w:rFonts w:hint="eastAsia"/>
      </w:rPr>
      <w:drawing>
        <wp:anchor distT="0" distB="0" distL="114300" distR="114300" simplePos="0" relativeHeight="251670528" behindDoc="0" locked="0" layoutInCell="1" allowOverlap="1">
          <wp:simplePos x="0" y="0"/>
          <wp:positionH relativeFrom="column">
            <wp:posOffset>-152400</wp:posOffset>
          </wp:positionH>
          <wp:positionV relativeFrom="paragraph">
            <wp:posOffset>-84455</wp:posOffset>
          </wp:positionV>
          <wp:extent cx="898525" cy="215265"/>
          <wp:effectExtent l="0" t="0" r="3175" b="635"/>
          <wp:wrapNone/>
          <wp:docPr id="1" name="图片 1" descr="C:\Users\刘杰\Desktop\瑞慈体检内容库\01-品牌信息\01-品宣介绍\02-logo矢量图\瑞慈体检logo矢量图\瑞慈体检logo矢量图-瑞慈绿01.png瑞慈体检logo矢量图-瑞慈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刘杰\Desktop\瑞慈体检内容库\01-品牌信息\01-品宣介绍\02-logo矢量图\瑞慈体检logo矢量图\瑞慈体检logo矢量图-瑞慈绿01.png瑞慈体检logo矢量图-瑞慈绿01"/>
                  <pic:cNvPicPr>
                    <a:picLocks noChangeAspect="1" noChangeArrowheads="1"/>
                  </pic:cNvPicPr>
                </pic:nvPicPr>
                <pic:blipFill>
                  <a:blip r:embed="rId2"/>
                  <a:srcRect/>
                  <a:stretch>
                    <a:fillRect/>
                  </a:stretch>
                </pic:blipFill>
                <pic:spPr>
                  <a:xfrm>
                    <a:off x="0" y="0"/>
                    <a:ext cx="898525" cy="2152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1B3B8"/>
    <w:multiLevelType w:val="singleLevel"/>
    <w:tmpl w:val="9101B3B8"/>
    <w:lvl w:ilvl="0" w:tentative="0">
      <w:start w:val="1"/>
      <w:numFmt w:val="chineseCounting"/>
      <w:suff w:val="nothing"/>
      <w:lvlText w:val="%1、"/>
      <w:lvlJc w:val="left"/>
      <w:pPr>
        <w:ind w:left="0" w:firstLine="420"/>
      </w:pPr>
      <w:rPr>
        <w:rFonts w:hint="eastAsia"/>
      </w:rPr>
    </w:lvl>
  </w:abstractNum>
  <w:abstractNum w:abstractNumId="1">
    <w:nsid w:val="D5B2B606"/>
    <w:multiLevelType w:val="singleLevel"/>
    <w:tmpl w:val="D5B2B606"/>
    <w:lvl w:ilvl="0" w:tentative="0">
      <w:start w:val="3"/>
      <w:numFmt w:val="decimal"/>
      <w:suff w:val="nothing"/>
      <w:lvlText w:val="%1、"/>
      <w:lvlJc w:val="left"/>
    </w:lvl>
  </w:abstractNum>
  <w:abstractNum w:abstractNumId="2">
    <w:nsid w:val="205641FD"/>
    <w:multiLevelType w:val="multilevel"/>
    <w:tmpl w:val="205641F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1737146"/>
    <w:multiLevelType w:val="multilevel"/>
    <w:tmpl w:val="5173714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56C3998"/>
    <w:multiLevelType w:val="multilevel"/>
    <w:tmpl w:val="656C399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NjI0YmMzNWIzNDQxOTk0MWMyZGNkMjdhOTdlOTQifQ=="/>
  </w:docVars>
  <w:rsids>
    <w:rsidRoot w:val="00B45FD9"/>
    <w:rsid w:val="00240821"/>
    <w:rsid w:val="00B45FD9"/>
    <w:rsid w:val="00DC56E5"/>
    <w:rsid w:val="00DE7D31"/>
    <w:rsid w:val="00F36CE4"/>
    <w:rsid w:val="01FB11D3"/>
    <w:rsid w:val="02B36132"/>
    <w:rsid w:val="033622F9"/>
    <w:rsid w:val="03B544CB"/>
    <w:rsid w:val="04E92858"/>
    <w:rsid w:val="0531519C"/>
    <w:rsid w:val="06314567"/>
    <w:rsid w:val="07A33243"/>
    <w:rsid w:val="083D3697"/>
    <w:rsid w:val="08431DDD"/>
    <w:rsid w:val="0D8F6D28"/>
    <w:rsid w:val="0DCE6B40"/>
    <w:rsid w:val="0DDD7C0D"/>
    <w:rsid w:val="0E751418"/>
    <w:rsid w:val="1033445E"/>
    <w:rsid w:val="103E61FE"/>
    <w:rsid w:val="10990DEA"/>
    <w:rsid w:val="10C91DF2"/>
    <w:rsid w:val="11CB5F7F"/>
    <w:rsid w:val="123A0C48"/>
    <w:rsid w:val="19D82BAA"/>
    <w:rsid w:val="1C744D56"/>
    <w:rsid w:val="20A774A8"/>
    <w:rsid w:val="2302130E"/>
    <w:rsid w:val="243C51F5"/>
    <w:rsid w:val="24682496"/>
    <w:rsid w:val="26DB3A88"/>
    <w:rsid w:val="28BB1FC5"/>
    <w:rsid w:val="2CFE48F4"/>
    <w:rsid w:val="2D2C76B3"/>
    <w:rsid w:val="2E4C4881"/>
    <w:rsid w:val="34BA1A48"/>
    <w:rsid w:val="363834EC"/>
    <w:rsid w:val="36A85A3E"/>
    <w:rsid w:val="384C332A"/>
    <w:rsid w:val="39DE2E0A"/>
    <w:rsid w:val="3D402D06"/>
    <w:rsid w:val="3DA5354F"/>
    <w:rsid w:val="3DB57251"/>
    <w:rsid w:val="3F4E565E"/>
    <w:rsid w:val="3F7B25E6"/>
    <w:rsid w:val="40152228"/>
    <w:rsid w:val="41467A36"/>
    <w:rsid w:val="418B0857"/>
    <w:rsid w:val="43D75C62"/>
    <w:rsid w:val="46283EA2"/>
    <w:rsid w:val="484045E6"/>
    <w:rsid w:val="48A95C04"/>
    <w:rsid w:val="4AC40DD6"/>
    <w:rsid w:val="4B215D26"/>
    <w:rsid w:val="4B882C51"/>
    <w:rsid w:val="4CF357DA"/>
    <w:rsid w:val="4F50502B"/>
    <w:rsid w:val="4F7D56F4"/>
    <w:rsid w:val="50F45FA7"/>
    <w:rsid w:val="53613683"/>
    <w:rsid w:val="53B4545D"/>
    <w:rsid w:val="544921F7"/>
    <w:rsid w:val="555A7CAA"/>
    <w:rsid w:val="56C02A96"/>
    <w:rsid w:val="56E30533"/>
    <w:rsid w:val="57482A8C"/>
    <w:rsid w:val="577A1119"/>
    <w:rsid w:val="587720B7"/>
    <w:rsid w:val="5884018C"/>
    <w:rsid w:val="590649AC"/>
    <w:rsid w:val="5D6A79ED"/>
    <w:rsid w:val="604D569B"/>
    <w:rsid w:val="613C540F"/>
    <w:rsid w:val="6194315F"/>
    <w:rsid w:val="646F4FBB"/>
    <w:rsid w:val="66431326"/>
    <w:rsid w:val="66CD6B09"/>
    <w:rsid w:val="67104AC1"/>
    <w:rsid w:val="672229B1"/>
    <w:rsid w:val="67403E3C"/>
    <w:rsid w:val="674D0738"/>
    <w:rsid w:val="68C97750"/>
    <w:rsid w:val="6A327D4B"/>
    <w:rsid w:val="6A562289"/>
    <w:rsid w:val="6B8A321B"/>
    <w:rsid w:val="6CB71DEE"/>
    <w:rsid w:val="6CBD581A"/>
    <w:rsid w:val="6CC80B73"/>
    <w:rsid w:val="6D3B47CD"/>
    <w:rsid w:val="6D6B543E"/>
    <w:rsid w:val="6FB62831"/>
    <w:rsid w:val="74403BC3"/>
    <w:rsid w:val="74F477D0"/>
    <w:rsid w:val="76F51E90"/>
    <w:rsid w:val="77BD1C50"/>
    <w:rsid w:val="77FA5285"/>
    <w:rsid w:val="79BE1BB5"/>
    <w:rsid w:val="7A2D0C57"/>
    <w:rsid w:val="7C6220A5"/>
    <w:rsid w:val="7F034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9"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3">
    <w:name w:val="heading 2"/>
    <w:basedOn w:val="1"/>
    <w:next w:val="1"/>
    <w:qFormat/>
    <w:uiPriority w:val="9"/>
    <w:pPr>
      <w:keepNext/>
      <w:keepLines/>
      <w:widowControl/>
      <w:adjustRightInd w:val="0"/>
      <w:snapToGrid w:val="0"/>
      <w:spacing w:before="260" w:after="260" w:line="413" w:lineRule="auto"/>
      <w:jc w:val="left"/>
      <w:outlineLvl w:val="1"/>
    </w:pPr>
    <w:rPr>
      <w:rFonts w:ascii="Arial" w:hAnsi="Arial" w:eastAsia="黑体"/>
      <w:b/>
      <w:sz w:val="32"/>
      <w:szCs w:val="24"/>
    </w:rPr>
  </w:style>
  <w:style w:type="paragraph" w:styleId="4">
    <w:name w:val="heading 3"/>
    <w:basedOn w:val="1"/>
    <w:next w:val="1"/>
    <w:qFormat/>
    <w:uiPriority w:val="9"/>
    <w:pPr>
      <w:keepNext/>
      <w:keepLines/>
      <w:widowControl/>
      <w:adjustRightInd w:val="0"/>
      <w:snapToGrid w:val="0"/>
      <w:spacing w:before="260" w:after="260" w:line="413" w:lineRule="auto"/>
      <w:jc w:val="left"/>
      <w:outlineLvl w:val="2"/>
    </w:pPr>
    <w:rPr>
      <w:rFonts w:ascii="Times New Roman" w:hAnsi="Times New Roman" w:eastAsia="仿宋"/>
      <w:b/>
      <w:sz w:val="32"/>
      <w:szCs w:val="24"/>
    </w:rPr>
  </w:style>
  <w:style w:type="paragraph" w:styleId="5">
    <w:name w:val="heading 5"/>
    <w:basedOn w:val="1"/>
    <w:next w:val="1"/>
    <w:unhideWhenUsed/>
    <w:qFormat/>
    <w:uiPriority w:val="9"/>
    <w:pPr>
      <w:keepNext/>
      <w:keepLines/>
      <w:spacing w:before="280" w:after="290" w:line="372" w:lineRule="auto"/>
      <w:outlineLvl w:val="4"/>
    </w:pPr>
    <w:rPr>
      <w:b/>
      <w:sz w:val="28"/>
    </w:rPr>
  </w:style>
  <w:style w:type="paragraph" w:styleId="6">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rFonts w:ascii="Times New Roman" w:hAnsi="Times New Roman" w:eastAsia="宋体" w:cs="Times New Roman"/>
      <w:color w:val="0000FF"/>
      <w:u w:val="single"/>
    </w:rPr>
  </w:style>
  <w:style w:type="character" w:customStyle="1" w:styleId="12">
    <w:name w:val="font61"/>
    <w:basedOn w:val="10"/>
    <w:qFormat/>
    <w:uiPriority w:val="0"/>
    <w:rPr>
      <w:rFonts w:hint="eastAsia" w:ascii="宋体" w:hAnsi="宋体" w:eastAsia="宋体" w:cs="宋体"/>
      <w:color w:val="000000"/>
      <w:sz w:val="20"/>
      <w:szCs w:val="20"/>
      <w:u w:val="none"/>
      <w:vertAlign w:val="superscript"/>
    </w:rPr>
  </w:style>
  <w:style w:type="character" w:customStyle="1" w:styleId="13">
    <w:name w:val="font11"/>
    <w:basedOn w:val="10"/>
    <w:qFormat/>
    <w:uiPriority w:val="0"/>
    <w:rPr>
      <w:rFonts w:hint="eastAsia" w:ascii="宋体" w:hAnsi="宋体" w:eastAsia="宋体" w:cs="宋体"/>
      <w:color w:val="000000"/>
      <w:sz w:val="20"/>
      <w:szCs w:val="20"/>
      <w:u w:val="none"/>
    </w:rPr>
  </w:style>
  <w:style w:type="character" w:customStyle="1" w:styleId="14">
    <w:name w:val="font31"/>
    <w:basedOn w:val="10"/>
    <w:qFormat/>
    <w:uiPriority w:val="0"/>
    <w:rPr>
      <w:rFonts w:hint="eastAsia" w:ascii="宋体" w:hAnsi="宋体" w:eastAsia="宋体" w:cs="宋体"/>
      <w:b/>
      <w:bCs/>
      <w:color w:val="FF0000"/>
      <w:sz w:val="20"/>
      <w:szCs w:val="20"/>
      <w:u w:val="none"/>
    </w:rPr>
  </w:style>
  <w:style w:type="character" w:customStyle="1" w:styleId="15">
    <w:name w:val="font51"/>
    <w:basedOn w:val="10"/>
    <w:qFormat/>
    <w:uiPriority w:val="0"/>
    <w:rPr>
      <w:rFonts w:hint="eastAsia" w:ascii="宋体" w:hAnsi="宋体" w:eastAsia="宋体" w:cs="宋体"/>
      <w:color w:val="000000"/>
      <w:sz w:val="20"/>
      <w:szCs w:val="20"/>
      <w:u w:val="none"/>
    </w:rPr>
  </w:style>
  <w:style w:type="paragraph" w:customStyle="1" w:styleId="16">
    <w:name w:val="WPSOffice手动目录 1"/>
    <w:qFormat/>
    <w:uiPriority w:val="0"/>
    <w:rPr>
      <w:rFonts w:ascii="Times New Roman" w:hAnsi="Times New Roman" w:eastAsia="宋体" w:cs="Times New Roman"/>
      <w:lang w:val="en-US" w:eastAsia="zh-CN" w:bidi="ar-SA"/>
    </w:rPr>
  </w:style>
  <w:style w:type="table" w:customStyle="1" w:styleId="17">
    <w:name w:val="Table Normal"/>
    <w:semiHidden/>
    <w:unhideWhenUsed/>
    <w:qFormat/>
    <w:uiPriority w:val="0"/>
    <w:tblPr>
      <w:tblCellMar>
        <w:top w:w="0" w:type="dxa"/>
        <w:left w:w="0" w:type="dxa"/>
        <w:bottom w:w="0" w:type="dxa"/>
        <w:right w:w="0" w:type="dxa"/>
      </w:tblCellMar>
    </w:tblPr>
  </w:style>
  <w:style w:type="character" w:customStyle="1" w:styleId="18">
    <w:name w:val="font21"/>
    <w:basedOn w:val="10"/>
    <w:qFormat/>
    <w:uiPriority w:val="0"/>
    <w:rPr>
      <w:rFonts w:hint="eastAsia" w:ascii="微软雅黑" w:hAnsi="微软雅黑" w:eastAsia="微软雅黑" w:cs="微软雅黑"/>
      <w:b/>
      <w:bCs/>
      <w:color w:val="000000"/>
      <w:sz w:val="24"/>
      <w:szCs w:val="24"/>
      <w:u w:val="none"/>
    </w:rPr>
  </w:style>
  <w:style w:type="character" w:customStyle="1" w:styleId="19">
    <w:name w:val="font41"/>
    <w:basedOn w:val="10"/>
    <w:qFormat/>
    <w:uiPriority w:val="0"/>
    <w:rPr>
      <w:rFonts w:hint="eastAsia" w:ascii="微软雅黑" w:hAnsi="微软雅黑" w:eastAsia="微软雅黑" w:cs="微软雅黑"/>
      <w:color w:val="000000"/>
      <w:sz w:val="18"/>
      <w:szCs w:val="18"/>
      <w:u w:val="none"/>
    </w:rPr>
  </w:style>
  <w:style w:type="character" w:customStyle="1" w:styleId="20">
    <w:name w:val="font91"/>
    <w:basedOn w:val="10"/>
    <w:qFormat/>
    <w:uiPriority w:val="0"/>
    <w:rPr>
      <w:rFonts w:hint="eastAsia" w:ascii="微软雅黑" w:hAnsi="微软雅黑" w:eastAsia="微软雅黑" w:cs="微软雅黑"/>
      <w:color w:val="000000"/>
      <w:sz w:val="18"/>
      <w:szCs w:val="18"/>
      <w:u w:val="none"/>
    </w:rPr>
  </w:style>
  <w:style w:type="character" w:customStyle="1" w:styleId="21">
    <w:name w:val="font112"/>
    <w:basedOn w:val="10"/>
    <w:qFormat/>
    <w:uiPriority w:val="0"/>
    <w:rPr>
      <w:rFonts w:hint="eastAsia" w:ascii="微软雅黑" w:hAnsi="微软雅黑" w:eastAsia="微软雅黑" w:cs="微软雅黑"/>
      <w:color w:val="000000"/>
      <w:sz w:val="18"/>
      <w:szCs w:val="18"/>
      <w:u w:val="none"/>
      <w:vertAlign w:val="superscript"/>
    </w:rPr>
  </w:style>
  <w:style w:type="character" w:customStyle="1" w:styleId="22">
    <w:name w:val="font111"/>
    <w:basedOn w:val="10"/>
    <w:qFormat/>
    <w:uiPriority w:val="0"/>
    <w:rPr>
      <w:rFonts w:hint="eastAsia" w:ascii="微软雅黑" w:hAnsi="微软雅黑" w:eastAsia="微软雅黑" w:cs="微软雅黑"/>
      <w:color w:val="000000"/>
      <w:sz w:val="18"/>
      <w:szCs w:val="18"/>
      <w:u w:val="none"/>
      <w:vertAlign w:val="superscript"/>
    </w:rPr>
  </w:style>
  <w:style w:type="character" w:customStyle="1" w:styleId="23">
    <w:name w:val="font01"/>
    <w:basedOn w:val="10"/>
    <w:qFormat/>
    <w:uiPriority w:val="0"/>
    <w:rPr>
      <w:rFonts w:hint="eastAsia" w:ascii="微软雅黑" w:hAnsi="微软雅黑" w:eastAsia="微软雅黑" w:cs="微软雅黑"/>
      <w:color w:val="000000"/>
      <w:sz w:val="18"/>
      <w:szCs w:val="18"/>
      <w:u w:val="none"/>
    </w:rPr>
  </w:style>
  <w:style w:type="character" w:customStyle="1" w:styleId="24">
    <w:name w:val="font101"/>
    <w:basedOn w:val="10"/>
    <w:qFormat/>
    <w:uiPriority w:val="0"/>
    <w:rPr>
      <w:rFonts w:hint="eastAsia" w:ascii="微软雅黑" w:hAnsi="微软雅黑" w:eastAsia="微软雅黑" w:cs="微软雅黑"/>
      <w:color w:val="000000"/>
      <w:sz w:val="18"/>
      <w:szCs w:val="18"/>
      <w:u w:val="none"/>
    </w:rPr>
  </w:style>
  <w:style w:type="character" w:customStyle="1" w:styleId="25">
    <w:name w:val="font122"/>
    <w:basedOn w:val="10"/>
    <w:qFormat/>
    <w:uiPriority w:val="0"/>
    <w:rPr>
      <w:rFonts w:hint="eastAsia" w:ascii="微软雅黑" w:hAnsi="微软雅黑" w:eastAsia="微软雅黑" w:cs="微软雅黑"/>
      <w:color w:val="000000"/>
      <w:sz w:val="18"/>
      <w:szCs w:val="18"/>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13167</Words>
  <Characters>14444</Characters>
  <Lines>150</Lines>
  <Paragraphs>42</Paragraphs>
  <TotalTime>9</TotalTime>
  <ScaleCrop>false</ScaleCrop>
  <LinksUpToDate>false</LinksUpToDate>
  <CharactersWithSpaces>14684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2021-09-07T08:20:00Z</dcterms:created>
  <dc:creator>Zandra</dc:creator>
  <cp:lastModifiedBy>童舒雯</cp:lastModifiedBy>
  <dcterms:modified xsi:type="dcterms:W3CDTF">2023-05-31T00:34:51Z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C698A9BBA02844348C5C4A63276D28D8</vt:lpwstr>
  </property>
</Properties>
</file>