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4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1922"/>
        <w:gridCol w:w="4465"/>
        <w:gridCol w:w="397"/>
        <w:gridCol w:w="397"/>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928" w:type="dxa"/>
            <w:gridSpan w:val="6"/>
            <w:noWrap/>
            <w:vAlign w:val="center"/>
          </w:tcPr>
          <w:p>
            <w:pPr>
              <w:widowControl/>
              <w:jc w:val="center"/>
              <w:textAlignment w:val="center"/>
              <w:rPr>
                <w:rFonts w:hint="eastAsia" w:ascii="宋体" w:hAnsi="宋体" w:cs="宋体"/>
                <w:b/>
                <w:bCs/>
                <w:color w:val="000000"/>
                <w:sz w:val="18"/>
                <w:szCs w:val="18"/>
              </w:rPr>
            </w:pPr>
            <w:r>
              <w:rPr>
                <w:rFonts w:hint="eastAsia" w:ascii="宋体" w:hAnsi="宋体" w:cs="宋体"/>
                <w:b/>
                <w:bCs/>
                <w:color w:val="000000"/>
                <w:kern w:val="0"/>
                <w:sz w:val="28"/>
                <w:szCs w:val="28"/>
                <w:lang w:bidi="ar"/>
              </w:rPr>
              <w:t>复旦大学教职工</w:t>
            </w:r>
            <w:r>
              <w:rPr>
                <w:rFonts w:hint="eastAsia" w:ascii="宋体" w:hAnsi="宋体" w:cs="宋体"/>
                <w:b/>
                <w:bCs/>
                <w:color w:val="auto"/>
                <w:kern w:val="0"/>
                <w:sz w:val="28"/>
                <w:szCs w:val="28"/>
                <w:lang w:bidi="ar"/>
              </w:rPr>
              <w:t>健康体检</w:t>
            </w:r>
            <w:r>
              <w:rPr>
                <w:rFonts w:hint="eastAsia" w:ascii="宋体" w:hAnsi="宋体" w:cs="宋体"/>
                <w:b/>
                <w:bCs/>
                <w:color w:val="000000"/>
                <w:kern w:val="0"/>
                <w:sz w:val="28"/>
                <w:szCs w:val="28"/>
                <w:lang w:bidi="ar"/>
              </w:rPr>
              <w:t>1300元套餐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7737" w:type="dxa"/>
            <w:gridSpan w:val="3"/>
            <w:noWrap/>
            <w:vAlign w:val="center"/>
          </w:tcPr>
          <w:p>
            <w:pPr>
              <w:widowControl/>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项目及意义</w:t>
            </w:r>
          </w:p>
        </w:tc>
        <w:tc>
          <w:tcPr>
            <w:tcW w:w="1191" w:type="dxa"/>
            <w:gridSpan w:val="3"/>
            <w:noWrap/>
            <w:vAlign w:val="center"/>
          </w:tcPr>
          <w:p>
            <w:pPr>
              <w:widowControl/>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第一类</w:t>
            </w:r>
          </w:p>
        </w:tc>
        <w:tc>
          <w:tcPr>
            <w:tcW w:w="1922"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临床检查项目</w:t>
            </w:r>
          </w:p>
        </w:tc>
        <w:tc>
          <w:tcPr>
            <w:tcW w:w="4465"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临床意义</w:t>
            </w:r>
          </w:p>
        </w:tc>
        <w:tc>
          <w:tcPr>
            <w:tcW w:w="397"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中山</w:t>
            </w:r>
          </w:p>
        </w:tc>
        <w:tc>
          <w:tcPr>
            <w:tcW w:w="397"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华山</w:t>
            </w:r>
          </w:p>
        </w:tc>
        <w:tc>
          <w:tcPr>
            <w:tcW w:w="397"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民营机构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一般检查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一般A：身高,体重,体重指数BMI,血压</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通过仪器测量人体身高、体重及血压，科学判断体重是否标准、血压是否正常，并且为相关科室的诊断提供重要的依据。</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外科检查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外科B：皮肤,浅表淋巴结,甲状腺,乳房,脊柱,四肢关节,肛门指诊,泌尿生殖系</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通过体格检查，检查皮肤,浅表淋巴结,甲状腺,乳房,脊柱,四肢关节,肛门指诊,泌尿生殖系（男）等脏器基本情况，发现常见外科疾病的相关征兆，或初步排除外科常见疾病。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内科检查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内科A：营养,面容,心脏,肺部,腹部，肝脏，脾脏</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通过体格检查，检查心、肺、腹部等器官及部位的基本状况,发现常见疾病的相关征兆或初步排除常见疾病。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眼科检查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眼科C：视力,外眼,眼底镜,裂隙灯检查</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了解视力状况,眼外观是否正常，通过眼底镜检查眼底视网膜、视神经、视乳头和视网膜中央血管等有无异常情况，通过裂隙灯检查巩膜、虹膜、角膜、瞳孔、玻璃体、晶体等有无异常情况。</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耳鼻喉检查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耳鼻、口咽</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通过对耳、鼻、咽、扁桃体的常规检查，初步筛查相关常见疾病。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口腔科检查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牙体,牙周,口腔粘膜,颌面部</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主要检查有无牙周病、牙结石、龋齿、缺牙等口腔疾病。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妇科检查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妇科内诊</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通过妇科体格检查，检查阴道、子宫、附件、盆腔等脏器基本情况，发现常见妇科疾病的相关征兆，或初步排除妇科常见疾病。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第二类</w:t>
            </w:r>
          </w:p>
        </w:tc>
        <w:tc>
          <w:tcPr>
            <w:tcW w:w="1922"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实验室检查项目</w:t>
            </w:r>
          </w:p>
        </w:tc>
        <w:tc>
          <w:tcPr>
            <w:tcW w:w="4465"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临床意义</w:t>
            </w: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血常规</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18项/22项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通过血液常规检测，检查白细胞、红细胞、血色素、血小板等指标来反映身体状况，如：贫血、感染、血液系统疾病、物理化学因素损伤等。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血糖检测</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空腹血糖（GLU）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评价人体空腹状态下糖代谢是否正常，评估糖尿病受检者空腹血糖控制是否达标。空腹血糖是评估糖代谢紊乱的常用和重要指标。</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糖化血红蛋白（HbA1C）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反映近2-3个月的平均血糖水平；用于筛检糖尿病、评价糖尿病血糖控制程度。</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肝胆功能</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血清总蛋白（TP）</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用于黄疸诊断与鉴别诊断。</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血清白蛋白（ALB）</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可检测肝脏疾病、营养不良、肾病综合征及慢性消耗性疾病等。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血清球蛋白（GLO）</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可检测肠道吸收障碍、营养不良、慢性消耗性疾病、肾病综合征、肝硬化等。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ALB/GLO</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可检测慢性肝脏疾病、M球蛋白血症、自身免疫性疾病等。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血清总胆红素（T-BIL）</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是肝细胞受损最敏感的指标，升高可提示肝胆系统疾病。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血清直接胆红素（D-BIL）</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用于黄疸诊断与鉴别诊断。直接胆红素增高，属阻塞性黄疸、肝细胞性黄疸。</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间接胆红素（I-BIL）</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用于黄疸诊断与鉴别诊断。间接胆红素为肝源性黄疸。</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sz w:val="18"/>
                <w:szCs w:val="18"/>
                <w:u w:val="none"/>
                <w:lang w:eastAsia="zh-CN"/>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血清胆碱脂酶（CHE）</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主要用于诊断肝脏疾病、有机磷中毒；肾脏疾病、肥胖、脂肪肝、甲亢也可增高。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sz w:val="18"/>
                <w:szCs w:val="18"/>
                <w:u w:val="none"/>
                <w:lang w:eastAsia="zh-CN"/>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乳酸脱氢酶（LDH）</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可检测心肌梗塞、肝脏疾病、肺栓塞、恶性肿瘤等。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sz w:val="18"/>
                <w:szCs w:val="18"/>
                <w:u w:val="none"/>
                <w:lang w:eastAsia="zh-CN"/>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腺苷脱氨酶(ADA)</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用于结核杆菌感染、慢性肝脏损害的辅助诊断。</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sz w:val="18"/>
                <w:szCs w:val="18"/>
                <w:u w:val="none"/>
                <w:lang w:eastAsia="zh-CN"/>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血清丙氨酸氨基转移酶（ALT）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是肝细胞受损最敏感的指标，升高可提示肝胆系统疾病。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血清天门冬氨酸氨基转移酶（AST）</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肝脏、肌肉及心肌损害时升高。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AST/ALT</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反映肝细胞的损害情况。降低见于急性肝炎和轻症的慢性肝炎；升高见于慢性肝炎的后期,肝硬化和肝癌。</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sz w:val="18"/>
                <w:szCs w:val="18"/>
                <w:u w:val="none"/>
                <w:lang w:eastAsia="zh-CN"/>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血清γ-谷氨酰转移酶（GGT）</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最常用于筛检肝脏机能障碍，当肝内合成亢进或胆汁排出受阻时，血清中GGT增高。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血清碱性磷酸酶（ALP）</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用于检测肝胆系统疾病、黄疸的鉴别诊断、骨骼疾病等。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肾脏功能</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血清尿素（UREA）,血清肌酐（CR）</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诊断肾功能异常的指标，可提示有无肾功能损害。</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血清尿酸（UA）</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可提示嘌呤代谢有无异常如高尿酸血症、痛风及肾脏功能损害。</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血脂检测</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总胆固醇（TC）</w:t>
            </w:r>
          </w:p>
        </w:tc>
        <w:tc>
          <w:tcPr>
            <w:tcW w:w="4465"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可以反映体内脂类代谢的情况。有助于评估心脑血管疾病风险。当AI≥4异常。数值越大动脉硬化的程度越重，发生心脑血管的危险性越高。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甘油三脂（TG）</w:t>
            </w:r>
          </w:p>
        </w:tc>
        <w:tc>
          <w:tcPr>
            <w:tcW w:w="4465" w:type="dxa"/>
            <w:vMerge w:val="continue"/>
            <w:vAlign w:val="center"/>
          </w:tcPr>
          <w:p>
            <w:pPr>
              <w:jc w:val="center"/>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高密度脂蛋白胆固醇</w:t>
            </w:r>
          </w:p>
        </w:tc>
        <w:tc>
          <w:tcPr>
            <w:tcW w:w="4465" w:type="dxa"/>
            <w:vMerge w:val="continue"/>
            <w:vAlign w:val="center"/>
          </w:tcPr>
          <w:p>
            <w:pPr>
              <w:jc w:val="center"/>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低密度脂蛋白胆固醇</w:t>
            </w:r>
          </w:p>
        </w:tc>
        <w:tc>
          <w:tcPr>
            <w:tcW w:w="4465" w:type="dxa"/>
            <w:vMerge w:val="continue"/>
            <w:vAlign w:val="center"/>
          </w:tcPr>
          <w:p>
            <w:pPr>
              <w:jc w:val="center"/>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noWrap/>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动脉硬化指数</w:t>
            </w:r>
          </w:p>
        </w:tc>
        <w:tc>
          <w:tcPr>
            <w:tcW w:w="4465" w:type="dxa"/>
            <w:vMerge w:val="continue"/>
            <w:vAlign w:val="center"/>
          </w:tcPr>
          <w:p>
            <w:pPr>
              <w:jc w:val="center"/>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血清载脂蛋白A1测定 (APO-AI)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是高密度脂蛋白的主要组成成分，其降低时心脑血管风险增加。ApoA-1/ApoB比值＜1，是冠心病的危险指标。</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血清载脂蛋白B测定(APO-B)</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脂蛋白B与动脉粥样硬化呈正相关；ApoA-1/ApoB比值＜1，是冠心病的危险指标。</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血清脂蛋白α测定(LP（a）)</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是动脉粥样硬化和血栓形成的独立危险因素。脂蛋白α水平持续升高与心绞痛、心肌梗死、脑梗塞等有密切关系。</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restart"/>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心血管检测</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超敏C反应蛋白（hs-CRP）</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是判断组织损伤的敏感指标，也是心血管炎症病变的生物标志物。在冠心病、脑卒中、周围血管栓塞等疾病的诊断和预测中发挥重要的作用。</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同型半胱氨酸（HCY）</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与动脉粥样硬化性心脑血管疾病密切相关，是心脑血管疾病的独立风险因子。</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肿瘤标志物</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甲胎蛋白（AFP，发光法）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对原发性肝癌的诊断、疗效观察和预后评估有重要的临床意义。在卵巢、胃、胰腺癌、睾丸癌等肿瘤及妊娠、胎儿畸形肝炎、肝硬化等疾病也有辅助诊断。</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癌胚抗原（CEA，发光法）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是广谱性肿瘤标志物，对大肠癌、胰腺癌的筛查、疗效观察和预后评估有重要的临床意义。在胃、乳腺、肺癌等也可升高。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前列腺肿瘤筛检PSA、f-PSA</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可提示有前列腺癌的可能。</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糖类抗原199（CA199)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对胰腺癌、胆道肿瘤、胃肠癌等的筛查及疗效监测、评估预后有临床重要意义。急性胰腺炎、胆管炎、胆石症、急性肝炎、肝硬化等可升高。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糖类抗原125（CA125)（女）</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是卵巢上皮性肿瘤标志物，对宫颈癌及子宫内膜癌有辅助诊断价值。</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乳腺癌肿瘤筛检（CA153）（女）</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主要用于乳腺癌的治疗检测和预后判断。子宫肿瘤、转移性卵巢癌、肺癌、胰腺癌、结肠癌、肺癌、支气管肺癌也可升高。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鳞状上皮细胞癌相关抗原测定(SCC)</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SCC可作为肺鳞癌、宫颈癌、食管癌等的诊断、病情监测及预后判断的辅助指标。</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细胞角蛋白19片段测定（CYFRA21-1）</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对非小细胞肺癌的早期诊断、疗效监测和预后判断均有重要意义。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甲状腺功能  </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甲状腺功能三项（TSH,T3,T4）</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用于诊断甲亢、甲减，并作为甲状腺肿瘤术后治疗监测。</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FT3</w:t>
            </w:r>
          </w:p>
        </w:tc>
        <w:tc>
          <w:tcPr>
            <w:tcW w:w="4465" w:type="dxa"/>
            <w:vMerge w:val="restart"/>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用于诊断甲亢、甲减，并作为甲状腺肿瘤术后治疗监测。抗体检测有助于判断有无自身免疫性甲状腺疾病。</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FT4</w:t>
            </w:r>
          </w:p>
        </w:tc>
        <w:tc>
          <w:tcPr>
            <w:tcW w:w="4465" w:type="dxa"/>
            <w:vMerge w:val="continue"/>
            <w:vAlign w:val="center"/>
          </w:tcPr>
          <w:p>
            <w:pPr>
              <w:jc w:val="left"/>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TG-Ab</w:t>
            </w:r>
          </w:p>
        </w:tc>
        <w:tc>
          <w:tcPr>
            <w:tcW w:w="4465" w:type="dxa"/>
            <w:vMerge w:val="continue"/>
            <w:vAlign w:val="center"/>
          </w:tcPr>
          <w:p>
            <w:pPr>
              <w:jc w:val="left"/>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TPO-Ab</w:t>
            </w:r>
          </w:p>
        </w:tc>
        <w:tc>
          <w:tcPr>
            <w:tcW w:w="4465" w:type="dxa"/>
            <w:vMerge w:val="continue"/>
            <w:vAlign w:val="center"/>
          </w:tcPr>
          <w:p>
            <w:pPr>
              <w:jc w:val="left"/>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血粘度</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15项</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主要反映血液流动性、凝滞性和血液粘度的变化。适用于高血压、动脉硬化、脑中风、糖尿病及血脂异常等疾患的检查。</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尿常规</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15项</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筛查泌尿系统疾病简单并且准确的方法。如泌尿系统感染、肿瘤、结石及了解肾功能，还可用于协助检查其他系统疾病，如糖尿病、肾炎等。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白带常规</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3项</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了解阴道清洁度情况及妇科炎症，如：外阴阴道假丝酵母菌病、滴虫性阴道炎等均具有重要的意义。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妇科检查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子宫颈刮片检查（普通细胞学检测）</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是一种简单的初筛宫颈病变的方法。</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子宫颈抹片检查（液基超薄细胞检测,TCT）</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筛查宫颈早期病变较先进的检测方法，同时还能发现部分微生物感染如假丝酵母菌、滴虫等。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人乳头瘤病毒分析全套检测（共23型）</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高危和低危人乳头瘤病毒感染诊断。</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第三类</w:t>
            </w:r>
          </w:p>
        </w:tc>
        <w:tc>
          <w:tcPr>
            <w:tcW w:w="1922"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器械检查项目</w:t>
            </w:r>
          </w:p>
        </w:tc>
        <w:tc>
          <w:tcPr>
            <w:tcW w:w="4465"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临床意义</w:t>
            </w: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彩超检查</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肝胆脾胰肾超声检查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通过彩色超声仪器对人体肝脏、胆囊、脾脏、胰脏、双肾进行检测,是否有无形态学改变及占位性病变（肿瘤，结石，炎症等）。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甲状腺超声检查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通过彩色超声仪器对人体甲状腺进行检测,是否有无形态学改变及占位性病变（肿大、结节、腺瘤及肿瘤等）。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乳房超声检查（女）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通过彩色超声波仪器检测乳腺有无肿块及其他病变。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妇科腹部超声检查（女未婚）</w:t>
            </w:r>
          </w:p>
        </w:tc>
        <w:tc>
          <w:tcPr>
            <w:tcW w:w="4465" w:type="dxa"/>
            <w:vMerge w:val="restart"/>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通过彩色超声波仪器检测子宫及附件有无病变。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妇科阴道超声检查（女已婚）</w:t>
            </w:r>
          </w:p>
        </w:tc>
        <w:tc>
          <w:tcPr>
            <w:tcW w:w="4465" w:type="dxa"/>
            <w:vMerge w:val="continue"/>
            <w:vAlign w:val="center"/>
          </w:tcPr>
          <w:p>
            <w:pPr>
              <w:jc w:val="left"/>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男科前列腺超声波检查（男）        </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通过彩色超声波仪器检测前列腺有无肿块及其他病变。</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乳腺疾病筛查（</w:t>
            </w:r>
            <w:r>
              <w:rPr>
                <w:rFonts w:hint="eastAsia" w:ascii="宋体" w:hAnsi="宋体" w:cs="宋体"/>
                <w:color w:val="FF0000"/>
                <w:kern w:val="0"/>
                <w:sz w:val="18"/>
                <w:szCs w:val="18"/>
                <w:lang w:bidi="ar"/>
              </w:rPr>
              <w:t>★限 35 岁以上女性</w:t>
            </w:r>
            <w:r>
              <w:rPr>
                <w:rFonts w:hint="eastAsia" w:ascii="宋体" w:hAnsi="宋体" w:cs="宋体"/>
                <w:color w:val="000000"/>
                <w:kern w:val="0"/>
                <w:sz w:val="18"/>
                <w:szCs w:val="18"/>
                <w:lang w:bidi="ar"/>
              </w:rPr>
              <w:t xml:space="preserve">）   </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钼靶X线</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利用射线穿透乳腺软组织，达到对乳腺内组织进行诊断的目的，其特点是简便、快捷、无痛苦、准确率高。对乳腺增生、乳腺腺瘤、乳腺囊肿、乳腺癌等都有很重要的诊断作用，是乳腺外科最常用的检查方式之一。</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CT</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肺部（低剂量）</w:t>
            </w:r>
          </w:p>
        </w:tc>
        <w:tc>
          <w:tcPr>
            <w:tcW w:w="4465" w:type="dxa"/>
            <w:vAlign w:val="center"/>
          </w:tcPr>
          <w:p>
            <w:pPr>
              <w:widowControl/>
              <w:jc w:val="left"/>
              <w:textAlignment w:val="center"/>
              <w:rPr>
                <w:rFonts w:hint="eastAsia" w:ascii="宋体" w:hAnsi="宋体" w:cs="宋体"/>
                <w:color w:val="000000"/>
                <w:sz w:val="18"/>
                <w:szCs w:val="18"/>
              </w:rPr>
            </w:pPr>
            <w:r>
              <w:rPr>
                <w:rStyle w:val="8"/>
                <w:rFonts w:hint="default"/>
                <w:sz w:val="18"/>
                <w:szCs w:val="18"/>
                <w:lang w:bidi="ar"/>
              </w:rPr>
              <w:t>低剂量螺旋CT(简称LDCT)扫描方案是通过优化扫描参数，改变管电流、管电压和螺距等来降低辐射剂量，</w:t>
            </w:r>
            <w:r>
              <w:rPr>
                <w:rStyle w:val="9"/>
                <w:rFonts w:hint="default"/>
                <w:sz w:val="18"/>
                <w:szCs w:val="18"/>
                <w:lang w:bidi="ar"/>
              </w:rPr>
              <w:t>胸部扫描辐射剂量仅为常规CT的20％左右。</w:t>
            </w:r>
            <w:r>
              <w:rPr>
                <w:rStyle w:val="8"/>
                <w:rFonts w:hint="default"/>
                <w:sz w:val="18"/>
                <w:szCs w:val="18"/>
                <w:lang w:bidi="ar"/>
              </w:rPr>
              <w:t>低剂量螺旋CT对肺部筛查有助于发现早期肺癌，特别是周围型肺癌，其诊出率约为胸片的10倍。因其较少的辐射剂量，有效的降低了医源性辐射引起的恶性病变的风险。</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磁共振扫描（MRI）</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单个部位</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头颅/颈椎/腰椎/上腹部/下腹部/左膝关节/右膝关节/左踝关节/右踝关节</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noWrap/>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心电图</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静态心电图检查(ECG)</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通过在体表特定部位同步记录和分析心脏每一个心动周期所产生电活动变化的曲线图形，为心脏疾病诊断、疗效评价、预后评估提供重要的依据。</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幽门螺杆菌检测</w:t>
            </w:r>
          </w:p>
        </w:tc>
        <w:tc>
          <w:tcPr>
            <w:tcW w:w="1922" w:type="dxa"/>
            <w:vAlign w:val="center"/>
          </w:tcPr>
          <w:p>
            <w:pPr>
              <w:widowControl/>
              <w:jc w:val="left"/>
              <w:textAlignment w:val="center"/>
              <w:rPr>
                <w:rFonts w:hint="eastAsia" w:ascii="宋体" w:hAnsi="宋体" w:cs="宋体"/>
                <w:color w:val="000000"/>
                <w:sz w:val="18"/>
                <w:szCs w:val="18"/>
              </w:rPr>
            </w:pPr>
            <w:r>
              <w:rPr>
                <w:rStyle w:val="10"/>
                <w:rFonts w:hint="default" w:ascii="宋体" w:hAnsi="宋体" w:cs="宋体"/>
                <w:sz w:val="18"/>
                <w:szCs w:val="18"/>
                <w:lang w:bidi="ar"/>
              </w:rPr>
              <w:t>13</w:t>
            </w:r>
            <w:r>
              <w:rPr>
                <w:rStyle w:val="11"/>
                <w:rFonts w:hint="default" w:ascii="宋体" w:hAnsi="宋体" w:cs="宋体"/>
                <w:sz w:val="18"/>
                <w:szCs w:val="18"/>
                <w:lang w:bidi="ar"/>
              </w:rPr>
              <w:t>C尿素呼气试验</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呼气试验阳性示有幽门螺杆菌感染，它与胃部炎症、消化性溃疡、胃癌的发生密切关联。该方法具有无痛、快速、准确的特点。</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350"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第四类</w:t>
            </w:r>
          </w:p>
        </w:tc>
        <w:tc>
          <w:tcPr>
            <w:tcW w:w="1922"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附加项目</w:t>
            </w:r>
          </w:p>
        </w:tc>
        <w:tc>
          <w:tcPr>
            <w:tcW w:w="4465" w:type="dxa"/>
            <w:shd w:val="clear" w:color="auto" w:fill="366092"/>
            <w:vAlign w:val="center"/>
          </w:tcPr>
          <w:p>
            <w:pPr>
              <w:widowControl/>
              <w:jc w:val="center"/>
              <w:textAlignment w:val="center"/>
              <w:rPr>
                <w:rFonts w:hint="eastAsia" w:ascii="宋体" w:hAnsi="宋体" w:cs="宋体"/>
                <w:b/>
                <w:bCs/>
                <w:color w:val="FFFFFF"/>
                <w:sz w:val="18"/>
                <w:szCs w:val="18"/>
              </w:rPr>
            </w:pPr>
            <w:r>
              <w:rPr>
                <w:rFonts w:hint="eastAsia" w:ascii="宋体" w:hAnsi="宋体" w:cs="宋体"/>
                <w:b/>
                <w:bCs/>
                <w:color w:val="FFFFFF"/>
                <w:kern w:val="0"/>
                <w:sz w:val="18"/>
                <w:szCs w:val="18"/>
                <w:lang w:bidi="ar"/>
              </w:rPr>
              <w:t>检测意义</w:t>
            </w: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c>
          <w:tcPr>
            <w:tcW w:w="397" w:type="dxa"/>
            <w:shd w:val="clear" w:color="auto" w:fill="366092"/>
            <w:vAlign w:val="center"/>
          </w:tcPr>
          <w:p>
            <w:pPr>
              <w:jc w:val="center"/>
              <w:rPr>
                <w:rFonts w:hint="eastAsia" w:ascii="宋体" w:hAnsi="宋体" w:cs="宋体"/>
                <w:b/>
                <w:bCs/>
                <w:color w:val="FFFF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健康餐</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健康早餐</w:t>
            </w:r>
          </w:p>
        </w:tc>
        <w:tc>
          <w:tcPr>
            <w:tcW w:w="4465" w:type="dxa"/>
            <w:vAlign w:val="center"/>
          </w:tcPr>
          <w:p>
            <w:pPr>
              <w:jc w:val="left"/>
              <w:rPr>
                <w:rFonts w:hint="eastAsia" w:ascii="宋体" w:hAnsi="宋体" w:cs="宋体"/>
                <w:color w:val="000000"/>
                <w:sz w:val="18"/>
                <w:szCs w:val="18"/>
              </w:rPr>
            </w:pP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体检报告</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电子报告</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网络电子报告查询，电子报告可终身保存，提供下载。</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纸质报告</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出具纸质报告一份，体检报告装订成册。</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寄送快递费</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团队报告统一快递至客户指定地址。</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无</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50" w:type="dxa"/>
            <w:vMerge w:val="restart"/>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特别服务</w:t>
            </w: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急报服务</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对重大阳性疾病告知，检后专人跟踪监测服务。</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350" w:type="dxa"/>
            <w:vMerge w:val="continue"/>
            <w:vAlign w:val="center"/>
          </w:tcPr>
          <w:p>
            <w:pPr>
              <w:jc w:val="center"/>
              <w:rPr>
                <w:rFonts w:hint="eastAsia" w:ascii="宋体" w:hAnsi="宋体" w:cs="宋体"/>
                <w:color w:val="000000"/>
                <w:sz w:val="18"/>
                <w:szCs w:val="18"/>
              </w:rPr>
            </w:pPr>
          </w:p>
        </w:tc>
        <w:tc>
          <w:tcPr>
            <w:tcW w:w="1922"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体检报告解读</w:t>
            </w:r>
          </w:p>
        </w:tc>
        <w:tc>
          <w:tcPr>
            <w:tcW w:w="4465" w:type="dxa"/>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根据客户个人需求，可提供体检报告一对一解读和分析（电话解读或来体检中心现场解读）。</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c>
          <w:tcPr>
            <w:tcW w:w="397"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6B"/>
    <w:rsid w:val="0018410D"/>
    <w:rsid w:val="00E5296B"/>
    <w:rsid w:val="00FB7309"/>
    <w:rsid w:val="0A6C56B6"/>
    <w:rsid w:val="34596CC2"/>
    <w:rsid w:val="481C20B5"/>
    <w:rsid w:val="4AA62274"/>
    <w:rsid w:val="5616770E"/>
    <w:rsid w:val="6FE16193"/>
    <w:rsid w:val="7EDA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font41"/>
    <w:qFormat/>
    <w:uiPriority w:val="0"/>
    <w:rPr>
      <w:rFonts w:hint="eastAsia" w:ascii="宋体" w:hAnsi="宋体" w:eastAsia="宋体" w:cs="宋体"/>
      <w:color w:val="000000"/>
      <w:sz w:val="20"/>
      <w:szCs w:val="20"/>
      <w:u w:val="none"/>
    </w:rPr>
  </w:style>
  <w:style w:type="character" w:customStyle="1" w:styleId="9">
    <w:name w:val="font01"/>
    <w:qFormat/>
    <w:uiPriority w:val="0"/>
    <w:rPr>
      <w:rFonts w:hint="eastAsia" w:ascii="宋体" w:hAnsi="宋体" w:eastAsia="宋体" w:cs="宋体"/>
      <w:color w:val="000000"/>
      <w:sz w:val="20"/>
      <w:szCs w:val="20"/>
      <w:u w:val="none"/>
    </w:rPr>
  </w:style>
  <w:style w:type="character" w:customStyle="1" w:styleId="10">
    <w:name w:val="font91"/>
    <w:qFormat/>
    <w:uiPriority w:val="0"/>
    <w:rPr>
      <w:rFonts w:hint="eastAsia" w:ascii="微软雅黑" w:hAnsi="微软雅黑" w:eastAsia="微软雅黑" w:cs="微软雅黑"/>
      <w:color w:val="000000"/>
      <w:sz w:val="20"/>
      <w:szCs w:val="20"/>
      <w:u w:val="none"/>
      <w:vertAlign w:val="superscript"/>
    </w:rPr>
  </w:style>
  <w:style w:type="character" w:customStyle="1" w:styleId="11">
    <w:name w:val="font31"/>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668</Words>
  <Characters>3812</Characters>
  <Lines>31</Lines>
  <Paragraphs>8</Paragraphs>
  <TotalTime>1</TotalTime>
  <ScaleCrop>false</ScaleCrop>
  <LinksUpToDate>false</LinksUpToDate>
  <CharactersWithSpaces>4472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2021-08-27T07:28:00Z</dcterms:created>
  <dc:creator>Administrator</dc:creator>
  <cp:lastModifiedBy>Ying</cp:lastModifiedBy>
  <dcterms:modified xsi:type="dcterms:W3CDTF">2021-08-31T02:15:35Z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64108A7B9FB64B708E5DD2EA661BD868</vt:lpwstr>
  </property>
</Properties>
</file>